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F9C4" w14:textId="77777777" w:rsidR="00960F2F" w:rsidRDefault="00960F2F" w:rsidP="00960F2F">
      <w:pPr>
        <w:pBdr>
          <w:top w:val="single" w:sz="24" w:space="0" w:color="4B6A88"/>
          <w:left w:val="single" w:sz="24" w:space="0" w:color="4B6A88"/>
          <w:bottom w:val="single" w:sz="24" w:space="0" w:color="4B6A88"/>
          <w:right w:val="single" w:sz="24" w:space="0" w:color="4B6A88"/>
        </w:pBdr>
        <w:shd w:val="clear" w:color="auto" w:fill="4B6A88"/>
        <w:outlineLvl w:val="0"/>
        <w:rPr>
          <w:rFonts w:ascii="Calibri" w:eastAsia="Times New Roman" w:hAnsi="Calibri" w:cs="Calibri"/>
          <w:b/>
          <w:bCs/>
          <w:caps/>
          <w:color w:val="FFFFFF"/>
          <w:spacing w:val="15"/>
          <w:sz w:val="22"/>
          <w:szCs w:val="22"/>
        </w:rPr>
      </w:pPr>
      <w:r>
        <w:rPr>
          <w:rFonts w:ascii="Calibri" w:eastAsia="Times New Roman" w:hAnsi="Calibri" w:cs="Calibri"/>
          <w:b/>
          <w:bCs/>
          <w:caps/>
          <w:color w:val="FFFFFF"/>
          <w:spacing w:val="15"/>
          <w:sz w:val="22"/>
          <w:szCs w:val="22"/>
        </w:rPr>
        <w:t>Appendix B: CMS-Required Outcomes for Specific MES Modules</w:t>
      </w:r>
    </w:p>
    <w:p w14:paraId="0EB1BF21" w14:textId="77777777" w:rsidR="00960F2F" w:rsidRDefault="00960F2F" w:rsidP="00960F2F">
      <w:pPr>
        <w:rPr>
          <w:rFonts w:ascii="Calibri" w:eastAsia="Times New Roman" w:hAnsi="Calibri" w:cs="Calibri"/>
          <w:sz w:val="22"/>
          <w:szCs w:val="22"/>
        </w:rPr>
      </w:pPr>
    </w:p>
    <w:p w14:paraId="53FE102E" w14:textId="20803749" w:rsidR="00960F2F" w:rsidRDefault="00960F2F" w:rsidP="00960F2F">
      <w:pPr>
        <w:rPr>
          <w:rFonts w:ascii="Calibri" w:eastAsia="Times New Roman" w:hAnsi="Calibri" w:cs="Calibri"/>
          <w:sz w:val="22"/>
          <w:szCs w:val="22"/>
        </w:rPr>
      </w:pPr>
      <w:r>
        <w:rPr>
          <w:rFonts w:ascii="Calibri" w:eastAsia="Times New Roman" w:hAnsi="Calibri" w:cs="Calibri"/>
          <w:sz w:val="22"/>
          <w:szCs w:val="22"/>
        </w:rPr>
        <w:t xml:space="preserve">The information in the following tables contains the CMS-required outcomes for </w:t>
      </w:r>
      <w:r>
        <w:rPr>
          <w:rFonts w:ascii="Calibri" w:eastAsia="Times New Roman" w:hAnsi="Calibri" w:cs="Calibri"/>
          <w:sz w:val="22"/>
          <w:szCs w:val="22"/>
        </w:rPr>
        <w:t xml:space="preserve">Claims Processing </w:t>
      </w:r>
      <w:r>
        <w:rPr>
          <w:rFonts w:ascii="Calibri" w:eastAsia="Times New Roman" w:hAnsi="Calibri" w:cs="Calibri"/>
          <w:sz w:val="22"/>
          <w:szCs w:val="22"/>
        </w:rPr>
        <w:t xml:space="preserve">MES modules. These outcomes are aligned with regulatory and policy requirements that states must follow when implementing modules or capabilities. These are designed to be used as a starting point for aligning what the state is trying to accomplish with a project in accordance with CMS expectations. The list should be adjusted if any outcomes are deemed not applicable for a state project or if the state proposes other outcomes that are not covered in the applicable table(s) below. </w:t>
      </w:r>
    </w:p>
    <w:p w14:paraId="0BF6D131" w14:textId="16C3FE6C" w:rsidR="00960F2F" w:rsidRDefault="00960F2F"/>
    <w:p w14:paraId="3423967D" w14:textId="77777777" w:rsidR="00960F2F" w:rsidRDefault="00960F2F" w:rsidP="00960F2F">
      <w:pPr>
        <w:jc w:val="center"/>
        <w:rPr>
          <w:rFonts w:ascii="Calibri" w:eastAsia="Times New Roman" w:hAnsi="Calibri" w:cs="Calibri"/>
          <w:b/>
          <w:bCs/>
          <w:sz w:val="22"/>
          <w:szCs w:val="22"/>
        </w:rPr>
      </w:pPr>
      <w:r>
        <w:rPr>
          <w:rFonts w:ascii="Calibri" w:eastAsia="Times New Roman" w:hAnsi="Calibri" w:cs="Calibri"/>
          <w:b/>
          <w:bCs/>
          <w:sz w:val="22"/>
          <w:szCs w:val="22"/>
        </w:rPr>
        <w:t>Table B-2: Claims Processing Outcomes</w:t>
      </w:r>
    </w:p>
    <w:p w14:paraId="54510C81" w14:textId="77777777" w:rsidR="00960F2F" w:rsidRDefault="00960F2F" w:rsidP="00960F2F">
      <w:pPr>
        <w:jc w:val="center"/>
        <w:rPr>
          <w:rFonts w:ascii="Calibri" w:eastAsia="Times New Roman" w:hAnsi="Calibri" w:cs="Calibri"/>
          <w:b/>
          <w:bCs/>
          <w:sz w:val="22"/>
          <w:szCs w:val="22"/>
        </w:rPr>
      </w:pPr>
    </w:p>
    <w:tbl>
      <w:tblPr>
        <w:tblStyle w:val="TableGrid"/>
        <w:tblW w:w="0" w:type="auto"/>
        <w:tblInd w:w="0" w:type="dxa"/>
        <w:tblLook w:val="04A0" w:firstRow="1" w:lastRow="0" w:firstColumn="1" w:lastColumn="0" w:noHBand="0" w:noVBand="1"/>
      </w:tblPr>
      <w:tblGrid>
        <w:gridCol w:w="1795"/>
        <w:gridCol w:w="4920"/>
        <w:gridCol w:w="2635"/>
      </w:tblGrid>
      <w:tr w:rsidR="00960F2F" w14:paraId="48B80EBD" w14:textId="77777777" w:rsidTr="00960F2F">
        <w:trPr>
          <w:tblHeader/>
        </w:trPr>
        <w:tc>
          <w:tcPr>
            <w:tcW w:w="1795" w:type="dxa"/>
            <w:shd w:val="clear" w:color="auto" w:fill="4B6A88"/>
            <w:hideMark/>
          </w:tcPr>
          <w:p w14:paraId="44599B90" w14:textId="77777777" w:rsidR="00960F2F" w:rsidRDefault="00960F2F">
            <w:pPr>
              <w:spacing w:before="0" w:after="0" w:line="240" w:lineRule="auto"/>
              <w:jc w:val="center"/>
              <w:rPr>
                <w:rFonts w:ascii="Calibri" w:hAnsi="Calibri" w:cs="Calibri"/>
                <w:b/>
                <w:bCs/>
                <w:color w:val="FFFFFF"/>
                <w:sz w:val="22"/>
                <w:szCs w:val="22"/>
              </w:rPr>
            </w:pPr>
            <w:r>
              <w:rPr>
                <w:rFonts w:ascii="Calibri" w:hAnsi="Calibri" w:cs="Calibri"/>
                <w:b/>
                <w:bCs/>
                <w:color w:val="FFFFFF"/>
                <w:sz w:val="22"/>
                <w:szCs w:val="22"/>
              </w:rPr>
              <w:t>Reference #</w:t>
            </w:r>
          </w:p>
        </w:tc>
        <w:tc>
          <w:tcPr>
            <w:tcW w:w="4920" w:type="dxa"/>
            <w:shd w:val="clear" w:color="auto" w:fill="4B6A88"/>
            <w:hideMark/>
          </w:tcPr>
          <w:p w14:paraId="3CB1AFF7" w14:textId="77777777" w:rsidR="00960F2F" w:rsidRDefault="00960F2F">
            <w:pPr>
              <w:spacing w:before="0" w:after="0" w:line="240" w:lineRule="auto"/>
              <w:jc w:val="center"/>
              <w:rPr>
                <w:rFonts w:ascii="Calibri" w:hAnsi="Calibri" w:cs="Calibri"/>
                <w:b/>
                <w:bCs/>
                <w:color w:val="FFFFFF"/>
                <w:sz w:val="22"/>
                <w:szCs w:val="22"/>
              </w:rPr>
            </w:pPr>
            <w:r>
              <w:rPr>
                <w:rFonts w:ascii="Calibri" w:hAnsi="Calibri" w:cs="Calibri"/>
                <w:b/>
                <w:bCs/>
                <w:color w:val="FFFFFF"/>
                <w:sz w:val="22"/>
                <w:szCs w:val="22"/>
              </w:rPr>
              <w:t>Outcome</w:t>
            </w:r>
          </w:p>
        </w:tc>
        <w:tc>
          <w:tcPr>
            <w:tcW w:w="2635" w:type="dxa"/>
            <w:shd w:val="clear" w:color="auto" w:fill="4B6A88"/>
            <w:hideMark/>
          </w:tcPr>
          <w:p w14:paraId="07B8699B" w14:textId="77777777" w:rsidR="00960F2F" w:rsidRDefault="00960F2F">
            <w:pPr>
              <w:spacing w:before="0" w:after="0" w:line="240" w:lineRule="auto"/>
              <w:jc w:val="center"/>
              <w:rPr>
                <w:rFonts w:ascii="Calibri" w:hAnsi="Calibri" w:cs="Calibri"/>
                <w:b/>
                <w:bCs/>
                <w:color w:val="FFFFFF"/>
                <w:sz w:val="22"/>
                <w:szCs w:val="22"/>
              </w:rPr>
            </w:pPr>
            <w:r>
              <w:rPr>
                <w:rFonts w:ascii="Calibri" w:hAnsi="Calibri" w:cs="Calibri"/>
                <w:b/>
                <w:bCs/>
                <w:color w:val="FFFFFF"/>
                <w:sz w:val="22"/>
                <w:szCs w:val="22"/>
              </w:rPr>
              <w:t>Source(s)</w:t>
            </w:r>
          </w:p>
        </w:tc>
      </w:tr>
      <w:tr w:rsidR="00960F2F" w14:paraId="659CEF24" w14:textId="77777777" w:rsidTr="00960F2F">
        <w:tc>
          <w:tcPr>
            <w:tcW w:w="1795" w:type="dxa"/>
            <w:tcBorders>
              <w:top w:val="single" w:sz="4" w:space="0" w:color="auto"/>
              <w:left w:val="single" w:sz="4" w:space="0" w:color="auto"/>
              <w:bottom w:val="single" w:sz="4" w:space="0" w:color="auto"/>
              <w:right w:val="single" w:sz="4" w:space="0" w:color="auto"/>
            </w:tcBorders>
            <w:hideMark/>
          </w:tcPr>
          <w:p w14:paraId="581A41AC"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CP1 Receipt and Ingestion</w:t>
            </w:r>
          </w:p>
        </w:tc>
        <w:tc>
          <w:tcPr>
            <w:tcW w:w="4920" w:type="dxa"/>
            <w:tcBorders>
              <w:top w:val="single" w:sz="4" w:space="0" w:color="auto"/>
              <w:left w:val="nil"/>
              <w:bottom w:val="single" w:sz="4" w:space="0" w:color="auto"/>
              <w:right w:val="single" w:sz="4" w:space="0" w:color="auto"/>
            </w:tcBorders>
            <w:hideMark/>
          </w:tcPr>
          <w:p w14:paraId="02565B99" w14:textId="77777777" w:rsidR="00960F2F" w:rsidRDefault="00960F2F">
            <w:pPr>
              <w:spacing w:before="0" w:after="0" w:line="240" w:lineRule="auto"/>
              <w:rPr>
                <w:rFonts w:ascii="Calibri" w:hAnsi="Calibri" w:cs="Calibri"/>
                <w:sz w:val="22"/>
                <w:szCs w:val="22"/>
              </w:rPr>
            </w:pPr>
            <w:r>
              <w:rPr>
                <w:rFonts w:ascii="Calibri" w:hAnsi="Calibri" w:cs="Calibri"/>
                <w:color w:val="000000"/>
                <w:sz w:val="22"/>
                <w:szCs w:val="22"/>
              </w:rPr>
              <w:t>The system receives, ingests, and retains claims, claims adjustments, and supporting documentation submitted both electronically and by paper in standard formats.</w:t>
            </w:r>
          </w:p>
        </w:tc>
        <w:tc>
          <w:tcPr>
            <w:tcW w:w="2635" w:type="dxa"/>
            <w:tcBorders>
              <w:top w:val="single" w:sz="4" w:space="0" w:color="auto"/>
              <w:left w:val="nil"/>
              <w:bottom w:val="single" w:sz="4" w:space="0" w:color="auto"/>
              <w:right w:val="single" w:sz="4" w:space="0" w:color="auto"/>
            </w:tcBorders>
          </w:tcPr>
          <w:p w14:paraId="4604B694"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45 CFR 162.1102</w:t>
            </w:r>
          </w:p>
          <w:p w14:paraId="3DDD15DF" w14:textId="77777777" w:rsidR="00960F2F" w:rsidRDefault="00960F2F">
            <w:pPr>
              <w:rPr>
                <w:rFonts w:ascii="Calibri" w:hAnsi="Calibri" w:cs="Calibri"/>
                <w:sz w:val="22"/>
                <w:szCs w:val="22"/>
              </w:rPr>
            </w:pPr>
          </w:p>
        </w:tc>
      </w:tr>
      <w:tr w:rsidR="00960F2F" w14:paraId="447A9C03" w14:textId="77777777" w:rsidTr="00960F2F">
        <w:tc>
          <w:tcPr>
            <w:tcW w:w="1795" w:type="dxa"/>
            <w:tcBorders>
              <w:top w:val="nil"/>
              <w:left w:val="single" w:sz="4" w:space="0" w:color="auto"/>
              <w:bottom w:val="single" w:sz="4" w:space="0" w:color="auto"/>
              <w:right w:val="single" w:sz="4" w:space="0" w:color="auto"/>
            </w:tcBorders>
            <w:hideMark/>
          </w:tcPr>
          <w:p w14:paraId="508F1DD4"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CP2 Validation</w:t>
            </w:r>
          </w:p>
        </w:tc>
        <w:tc>
          <w:tcPr>
            <w:tcW w:w="4920" w:type="dxa"/>
            <w:tcBorders>
              <w:top w:val="nil"/>
              <w:left w:val="nil"/>
              <w:bottom w:val="single" w:sz="4" w:space="0" w:color="auto"/>
              <w:right w:val="single" w:sz="4" w:space="0" w:color="auto"/>
            </w:tcBorders>
            <w:hideMark/>
          </w:tcPr>
          <w:p w14:paraId="1D78417C" w14:textId="77777777" w:rsidR="00960F2F" w:rsidRDefault="00960F2F">
            <w:pPr>
              <w:spacing w:before="0" w:after="0" w:line="240" w:lineRule="auto"/>
              <w:rPr>
                <w:rFonts w:ascii="Calibri" w:hAnsi="Calibri" w:cs="Calibri"/>
                <w:color w:val="000000"/>
                <w:sz w:val="22"/>
                <w:szCs w:val="22"/>
              </w:rPr>
            </w:pPr>
            <w:r>
              <w:rPr>
                <w:rFonts w:ascii="Calibri" w:hAnsi="Calibri" w:cs="Calibri"/>
                <w:color w:val="000000"/>
                <w:sz w:val="22"/>
                <w:szCs w:val="22"/>
              </w:rPr>
              <w:t xml:space="preserve">The system performs comprehensive validation of claims and claims adjustments, including validity of services. </w:t>
            </w:r>
          </w:p>
        </w:tc>
        <w:tc>
          <w:tcPr>
            <w:tcW w:w="2635" w:type="dxa"/>
            <w:tcBorders>
              <w:top w:val="nil"/>
              <w:left w:val="nil"/>
              <w:bottom w:val="single" w:sz="4" w:space="0" w:color="auto"/>
              <w:right w:val="single" w:sz="4" w:space="0" w:color="auto"/>
            </w:tcBorders>
            <w:hideMark/>
          </w:tcPr>
          <w:p w14:paraId="2974E201"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431.052</w:t>
            </w:r>
          </w:p>
          <w:p w14:paraId="040EFD6F"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431.055</w:t>
            </w:r>
          </w:p>
          <w:p w14:paraId="4E1D4039" w14:textId="77777777" w:rsidR="00960F2F" w:rsidRDefault="00960F2F">
            <w:pPr>
              <w:spacing w:before="0" w:after="0" w:line="240" w:lineRule="auto"/>
              <w:rPr>
                <w:rFonts w:ascii="Calibri" w:hAnsi="Calibri" w:cs="Calibri"/>
                <w:color w:val="000000"/>
                <w:sz w:val="22"/>
                <w:szCs w:val="22"/>
              </w:rPr>
            </w:pPr>
            <w:r>
              <w:rPr>
                <w:rFonts w:ascii="Calibri" w:hAnsi="Calibri" w:cs="Calibri"/>
                <w:color w:val="000000"/>
                <w:sz w:val="22"/>
                <w:szCs w:val="22"/>
              </w:rPr>
              <w:t>42 CFR 447.26</w:t>
            </w:r>
          </w:p>
          <w:p w14:paraId="5335ADB0" w14:textId="77777777" w:rsidR="00960F2F" w:rsidRDefault="00960F2F">
            <w:pPr>
              <w:spacing w:before="0" w:after="0" w:line="240" w:lineRule="auto"/>
              <w:rPr>
                <w:rFonts w:ascii="Calibri" w:hAnsi="Calibri" w:cs="Calibri"/>
                <w:color w:val="000000"/>
                <w:sz w:val="22"/>
                <w:szCs w:val="22"/>
              </w:rPr>
            </w:pPr>
            <w:r>
              <w:rPr>
                <w:rFonts w:ascii="Calibri" w:hAnsi="Calibri" w:cs="Calibri"/>
                <w:sz w:val="22"/>
                <w:szCs w:val="22"/>
              </w:rPr>
              <w:t>42 CFR 447.45</w:t>
            </w:r>
            <w:r>
              <w:rPr>
                <w:rFonts w:ascii="Calibri" w:hAnsi="Calibri" w:cs="Calibri"/>
                <w:color w:val="000000"/>
                <w:sz w:val="22"/>
                <w:szCs w:val="22"/>
              </w:rPr>
              <w:t>(f)</w:t>
            </w:r>
          </w:p>
          <w:p w14:paraId="4D5510C1" w14:textId="77777777" w:rsidR="00960F2F" w:rsidRDefault="00960F2F">
            <w:pPr>
              <w:spacing w:before="0" w:after="0" w:line="240" w:lineRule="auto"/>
              <w:rPr>
                <w:rFonts w:ascii="Calibri" w:hAnsi="Calibri" w:cs="Calibri"/>
                <w:color w:val="000000"/>
                <w:sz w:val="22"/>
                <w:szCs w:val="22"/>
              </w:rPr>
            </w:pPr>
            <w:r>
              <w:rPr>
                <w:rFonts w:ascii="Calibri" w:hAnsi="Calibri" w:cs="Calibri"/>
                <w:color w:val="000000"/>
                <w:sz w:val="22"/>
                <w:szCs w:val="22"/>
              </w:rPr>
              <w:t>45 CFR 162.1002</w:t>
            </w:r>
          </w:p>
          <w:p w14:paraId="53709175" w14:textId="77777777" w:rsidR="00960F2F" w:rsidRDefault="00960F2F">
            <w:pPr>
              <w:spacing w:before="0" w:after="0" w:line="240" w:lineRule="auto"/>
              <w:rPr>
                <w:rFonts w:ascii="Calibri" w:hAnsi="Calibri" w:cs="Calibri"/>
                <w:color w:val="000000"/>
                <w:sz w:val="22"/>
                <w:szCs w:val="22"/>
              </w:rPr>
            </w:pPr>
            <w:r>
              <w:rPr>
                <w:rFonts w:ascii="Calibri" w:hAnsi="Calibri" w:cs="Calibri"/>
                <w:color w:val="000000"/>
                <w:sz w:val="22"/>
                <w:szCs w:val="22"/>
              </w:rPr>
              <w:t>SMD Letter 10-017</w:t>
            </w:r>
          </w:p>
          <w:p w14:paraId="20890B13"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SMM Part 11 Section 11300</w:t>
            </w:r>
          </w:p>
        </w:tc>
      </w:tr>
      <w:tr w:rsidR="00960F2F" w14:paraId="183C4C95" w14:textId="77777777" w:rsidTr="00960F2F">
        <w:tc>
          <w:tcPr>
            <w:tcW w:w="1795" w:type="dxa"/>
            <w:tcBorders>
              <w:top w:val="nil"/>
              <w:left w:val="single" w:sz="4" w:space="0" w:color="auto"/>
              <w:bottom w:val="single" w:sz="4" w:space="0" w:color="auto"/>
              <w:right w:val="single" w:sz="4" w:space="0" w:color="auto"/>
            </w:tcBorders>
            <w:hideMark/>
          </w:tcPr>
          <w:p w14:paraId="2EBFFD33"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CP3 Prior Authorization</w:t>
            </w:r>
          </w:p>
        </w:tc>
        <w:tc>
          <w:tcPr>
            <w:tcW w:w="4920" w:type="dxa"/>
            <w:tcBorders>
              <w:top w:val="nil"/>
              <w:left w:val="nil"/>
              <w:bottom w:val="single" w:sz="4" w:space="0" w:color="auto"/>
              <w:right w:val="single" w:sz="4" w:space="0" w:color="auto"/>
            </w:tcBorders>
            <w:hideMark/>
          </w:tcPr>
          <w:p w14:paraId="16616CC4" w14:textId="77777777" w:rsidR="00960F2F" w:rsidRDefault="00960F2F">
            <w:pPr>
              <w:spacing w:before="0" w:after="0" w:line="240" w:lineRule="auto"/>
              <w:rPr>
                <w:rFonts w:ascii="Calibri" w:hAnsi="Calibri" w:cs="Calibri"/>
                <w:sz w:val="22"/>
                <w:szCs w:val="22"/>
              </w:rPr>
            </w:pPr>
            <w:r>
              <w:rPr>
                <w:rFonts w:ascii="Calibri" w:hAnsi="Calibri" w:cs="Calibri"/>
                <w:color w:val="000000"/>
                <w:sz w:val="22"/>
                <w:szCs w:val="22"/>
              </w:rPr>
              <w:t>The system confirms authorization for services that require prior approval to manage costs or ensure patient safety, and that the services provided are consistent with the authorization. The system accepts use of the authorization by multiple sequential providers during the period as allowed by state rules. Prior-authorization records stored by the system are correctly associated with the relevant claim(s).</w:t>
            </w:r>
          </w:p>
        </w:tc>
        <w:tc>
          <w:tcPr>
            <w:tcW w:w="2635" w:type="dxa"/>
            <w:tcBorders>
              <w:top w:val="nil"/>
              <w:left w:val="nil"/>
              <w:bottom w:val="single" w:sz="4" w:space="0" w:color="auto"/>
              <w:right w:val="single" w:sz="4" w:space="0" w:color="auto"/>
            </w:tcBorders>
            <w:hideMark/>
          </w:tcPr>
          <w:p w14:paraId="32964983"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SSA 1927(d)(5)</w:t>
            </w:r>
          </w:p>
          <w:p w14:paraId="4A8EE3CE"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431.630</w:t>
            </w:r>
          </w:p>
          <w:p w14:paraId="66C63F09"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431.960</w:t>
            </w:r>
          </w:p>
          <w:p w14:paraId="5E6D1702"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45 CFR 162.1302</w:t>
            </w:r>
          </w:p>
          <w:p w14:paraId="1A18804B"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SMM Part 4</w:t>
            </w:r>
          </w:p>
          <w:p w14:paraId="38FE8B8C"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SMM Part 11 Section 11325</w:t>
            </w:r>
          </w:p>
        </w:tc>
      </w:tr>
      <w:tr w:rsidR="00960F2F" w14:paraId="5171BCDB" w14:textId="77777777" w:rsidTr="00960F2F">
        <w:tc>
          <w:tcPr>
            <w:tcW w:w="1795" w:type="dxa"/>
            <w:tcBorders>
              <w:top w:val="nil"/>
              <w:left w:val="single" w:sz="4" w:space="0" w:color="auto"/>
              <w:bottom w:val="single" w:sz="4" w:space="0" w:color="auto"/>
              <w:right w:val="single" w:sz="4" w:space="0" w:color="auto"/>
            </w:tcBorders>
            <w:hideMark/>
          </w:tcPr>
          <w:p w14:paraId="5C52B7FC"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CP4 Calculation and Resolution</w:t>
            </w:r>
          </w:p>
        </w:tc>
        <w:tc>
          <w:tcPr>
            <w:tcW w:w="4920" w:type="dxa"/>
            <w:tcBorders>
              <w:top w:val="nil"/>
              <w:left w:val="nil"/>
              <w:bottom w:val="single" w:sz="4" w:space="0" w:color="auto"/>
              <w:right w:val="single" w:sz="4" w:space="0" w:color="auto"/>
            </w:tcBorders>
            <w:hideMark/>
          </w:tcPr>
          <w:p w14:paraId="6C691FCD" w14:textId="77777777" w:rsidR="00960F2F" w:rsidRDefault="00960F2F">
            <w:pPr>
              <w:spacing w:before="0" w:after="0" w:line="240" w:lineRule="auto"/>
              <w:rPr>
                <w:rFonts w:ascii="Calibri" w:hAnsi="Calibri" w:cs="Calibri"/>
                <w:sz w:val="22"/>
                <w:szCs w:val="22"/>
              </w:rPr>
            </w:pPr>
            <w:r>
              <w:rPr>
                <w:rFonts w:ascii="Calibri" w:hAnsi="Calibri" w:cs="Calibri"/>
                <w:color w:val="000000"/>
                <w:sz w:val="22"/>
                <w:szCs w:val="22"/>
              </w:rPr>
              <w:t>The system correctly calculates payable amounts in accordance with the State Plan and logs accounts payable amounts for payment processing. The system accepts, adjusts, or denies claim line items and amounts and captures the applicable reason codes.</w:t>
            </w:r>
          </w:p>
        </w:tc>
        <w:tc>
          <w:tcPr>
            <w:tcW w:w="2635" w:type="dxa"/>
            <w:tcBorders>
              <w:top w:val="nil"/>
              <w:left w:val="nil"/>
              <w:bottom w:val="single" w:sz="4" w:space="0" w:color="auto"/>
              <w:right w:val="single" w:sz="4" w:space="0" w:color="auto"/>
            </w:tcBorders>
            <w:hideMark/>
          </w:tcPr>
          <w:p w14:paraId="17F5F2D6"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431.052</w:t>
            </w:r>
          </w:p>
        </w:tc>
      </w:tr>
      <w:tr w:rsidR="00960F2F" w14:paraId="5A8B781B" w14:textId="77777777" w:rsidTr="00960F2F">
        <w:tc>
          <w:tcPr>
            <w:tcW w:w="1795" w:type="dxa"/>
            <w:tcBorders>
              <w:top w:val="nil"/>
              <w:left w:val="single" w:sz="4" w:space="0" w:color="auto"/>
              <w:bottom w:val="single" w:sz="4" w:space="0" w:color="auto"/>
              <w:right w:val="single" w:sz="4" w:space="0" w:color="auto"/>
            </w:tcBorders>
            <w:hideMark/>
          </w:tcPr>
          <w:p w14:paraId="1366F17B"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CP5 Provide Submission Status</w:t>
            </w:r>
          </w:p>
        </w:tc>
        <w:tc>
          <w:tcPr>
            <w:tcW w:w="4920" w:type="dxa"/>
            <w:tcBorders>
              <w:top w:val="nil"/>
              <w:left w:val="nil"/>
              <w:bottom w:val="single" w:sz="4" w:space="0" w:color="auto"/>
              <w:right w:val="single" w:sz="4" w:space="0" w:color="auto"/>
            </w:tcBorders>
            <w:hideMark/>
          </w:tcPr>
          <w:p w14:paraId="6F4ABFF1" w14:textId="77777777" w:rsidR="00960F2F" w:rsidRDefault="00960F2F">
            <w:pPr>
              <w:spacing w:before="0" w:after="0" w:line="240" w:lineRule="auto"/>
              <w:rPr>
                <w:rFonts w:ascii="Calibri" w:hAnsi="Calibri" w:cs="Calibri"/>
                <w:color w:val="000000"/>
                <w:sz w:val="22"/>
                <w:szCs w:val="22"/>
              </w:rPr>
            </w:pPr>
            <w:r>
              <w:rPr>
                <w:rFonts w:ascii="Calibri" w:hAnsi="Calibri" w:cs="Calibri"/>
                <w:color w:val="000000"/>
                <w:sz w:val="22"/>
                <w:szCs w:val="22"/>
              </w:rPr>
              <w:t xml:space="preserve">The state communicates claims status throughout the submission and payment processes and in response to inquiry. If there are correctable errors in a claims submission, the system suspends the claims, attaches pre-defined reason code(s) to suspended claims, and communicates those errors to the provider for correction. The system associates applicable error or reason code(s) for all </w:t>
            </w:r>
            <w:r>
              <w:rPr>
                <w:rFonts w:ascii="Calibri" w:hAnsi="Calibri" w:cs="Calibri"/>
                <w:color w:val="000000"/>
                <w:sz w:val="22"/>
                <w:szCs w:val="22"/>
              </w:rPr>
              <w:lastRenderedPageBreak/>
              <w:t>statuses (e.g., rejected, suspended, denied, approved for payment, paid) and communicates those to the submitter. The system shows providers, case managers and members current submission status through one or more of the following:</w:t>
            </w:r>
          </w:p>
          <w:p w14:paraId="21B26C99" w14:textId="77777777" w:rsidR="00960F2F" w:rsidRDefault="00960F2F" w:rsidP="00566797">
            <w:pPr>
              <w:numPr>
                <w:ilvl w:val="0"/>
                <w:numId w:val="1"/>
              </w:numPr>
              <w:spacing w:before="0" w:after="0" w:line="240" w:lineRule="auto"/>
              <w:rPr>
                <w:rFonts w:ascii="Calibri" w:hAnsi="Calibri" w:cs="Calibri"/>
                <w:sz w:val="22"/>
                <w:szCs w:val="22"/>
              </w:rPr>
            </w:pPr>
            <w:r>
              <w:rPr>
                <w:rFonts w:ascii="Calibri" w:hAnsi="Calibri" w:cs="Calibri"/>
                <w:sz w:val="22"/>
                <w:szCs w:val="22"/>
              </w:rPr>
              <w:t>Automatic notices as appropriate based on claims decision or suspension.</w:t>
            </w:r>
          </w:p>
          <w:p w14:paraId="54FD00B9" w14:textId="77777777" w:rsidR="00960F2F" w:rsidRDefault="00960F2F" w:rsidP="00566797">
            <w:pPr>
              <w:numPr>
                <w:ilvl w:val="0"/>
                <w:numId w:val="1"/>
              </w:numPr>
              <w:spacing w:before="0" w:after="0" w:line="240" w:lineRule="auto"/>
              <w:rPr>
                <w:rFonts w:ascii="Calibri" w:hAnsi="Calibri" w:cs="Calibri"/>
                <w:sz w:val="22"/>
                <w:szCs w:val="22"/>
              </w:rPr>
            </w:pPr>
            <w:r>
              <w:rPr>
                <w:rFonts w:ascii="Calibri" w:hAnsi="Calibri" w:cs="Calibri"/>
                <w:sz w:val="22"/>
                <w:szCs w:val="22"/>
              </w:rPr>
              <w:t>Explanation of Benefits (EOB).</w:t>
            </w:r>
          </w:p>
          <w:p w14:paraId="09119C91" w14:textId="77777777" w:rsidR="00960F2F" w:rsidRDefault="00960F2F" w:rsidP="00566797">
            <w:pPr>
              <w:numPr>
                <w:ilvl w:val="0"/>
                <w:numId w:val="1"/>
              </w:numPr>
              <w:spacing w:before="0" w:after="0" w:line="240" w:lineRule="auto"/>
              <w:rPr>
                <w:rFonts w:ascii="Calibri" w:hAnsi="Calibri" w:cs="Calibri"/>
                <w:sz w:val="22"/>
                <w:szCs w:val="22"/>
              </w:rPr>
            </w:pPr>
            <w:r>
              <w:rPr>
                <w:rFonts w:ascii="Calibri" w:hAnsi="Calibri" w:cs="Calibri"/>
                <w:sz w:val="22"/>
                <w:szCs w:val="22"/>
              </w:rPr>
              <w:t xml:space="preserve">Providing prompt response to inquiries regarding the status of any claim through a variety of appropriate </w:t>
            </w:r>
            <w:proofErr w:type="gramStart"/>
            <w:r>
              <w:rPr>
                <w:rFonts w:ascii="Calibri" w:hAnsi="Calibri" w:cs="Calibri"/>
                <w:sz w:val="22"/>
                <w:szCs w:val="22"/>
              </w:rPr>
              <w:t>technologies, and</w:t>
            </w:r>
            <w:proofErr w:type="gramEnd"/>
            <w:r>
              <w:rPr>
                <w:rFonts w:ascii="Calibri" w:hAnsi="Calibri" w:cs="Calibri"/>
                <w:sz w:val="22"/>
                <w:szCs w:val="22"/>
              </w:rPr>
              <w:t xml:space="preserve"> tracking and monitoring responses to the inquiries.</w:t>
            </w:r>
          </w:p>
          <w:p w14:paraId="03B0149C" w14:textId="77777777" w:rsidR="00960F2F" w:rsidRDefault="00960F2F" w:rsidP="00566797">
            <w:pPr>
              <w:numPr>
                <w:ilvl w:val="0"/>
                <w:numId w:val="1"/>
              </w:numPr>
              <w:spacing w:before="0" w:after="0" w:line="240" w:lineRule="auto"/>
              <w:rPr>
                <w:rFonts w:ascii="Calibri" w:hAnsi="Calibri" w:cs="Calibri"/>
                <w:sz w:val="22"/>
                <w:szCs w:val="22"/>
              </w:rPr>
            </w:pPr>
            <w:r>
              <w:rPr>
                <w:rFonts w:ascii="Calibri" w:hAnsi="Calibri" w:cs="Calibri"/>
                <w:sz w:val="22"/>
                <w:szCs w:val="22"/>
              </w:rPr>
              <w:t>Application programming interface (API)</w:t>
            </w:r>
          </w:p>
        </w:tc>
        <w:tc>
          <w:tcPr>
            <w:tcW w:w="2635" w:type="dxa"/>
            <w:tcBorders>
              <w:top w:val="nil"/>
              <w:left w:val="nil"/>
              <w:bottom w:val="single" w:sz="4" w:space="0" w:color="auto"/>
              <w:right w:val="single" w:sz="4" w:space="0" w:color="auto"/>
            </w:tcBorders>
            <w:hideMark/>
          </w:tcPr>
          <w:p w14:paraId="1513656A"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lastRenderedPageBreak/>
              <w:t>45 CFR Part 162.1402 (c)</w:t>
            </w:r>
          </w:p>
          <w:p w14:paraId="24264496"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45 CFR Part 162.1403 (a) &amp; (b)</w:t>
            </w:r>
          </w:p>
          <w:p w14:paraId="6B22075B"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431.60 (a) &amp; (b)</w:t>
            </w:r>
          </w:p>
          <w:p w14:paraId="1381183C"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SMM Part 11 Section 11325</w:t>
            </w:r>
          </w:p>
        </w:tc>
      </w:tr>
      <w:tr w:rsidR="00960F2F" w14:paraId="7463CEA9" w14:textId="77777777" w:rsidTr="00960F2F">
        <w:tc>
          <w:tcPr>
            <w:tcW w:w="1795" w:type="dxa"/>
            <w:tcBorders>
              <w:top w:val="nil"/>
              <w:left w:val="single" w:sz="4" w:space="0" w:color="auto"/>
              <w:bottom w:val="single" w:sz="4" w:space="0" w:color="auto"/>
              <w:right w:val="single" w:sz="4" w:space="0" w:color="auto"/>
            </w:tcBorders>
            <w:hideMark/>
          </w:tcPr>
          <w:p w14:paraId="338B9A7F" w14:textId="77777777" w:rsidR="00960F2F" w:rsidRDefault="00960F2F">
            <w:pPr>
              <w:spacing w:before="0" w:after="0" w:line="240" w:lineRule="auto"/>
              <w:jc w:val="center"/>
              <w:rPr>
                <w:rFonts w:ascii="Calibri" w:hAnsi="Calibri" w:cs="Calibri"/>
                <w:b/>
                <w:bCs/>
                <w:sz w:val="22"/>
                <w:szCs w:val="22"/>
              </w:rPr>
            </w:pPr>
            <w:r>
              <w:rPr>
                <w:rFonts w:ascii="Calibri" w:hAnsi="Calibri" w:cs="Calibri"/>
                <w:b/>
                <w:bCs/>
                <w:color w:val="000000"/>
                <w:sz w:val="22"/>
                <w:szCs w:val="22"/>
              </w:rPr>
              <w:t>CP6 Record-Keeping</w:t>
            </w:r>
          </w:p>
        </w:tc>
        <w:tc>
          <w:tcPr>
            <w:tcW w:w="4920" w:type="dxa"/>
            <w:tcBorders>
              <w:top w:val="nil"/>
              <w:left w:val="nil"/>
              <w:bottom w:val="single" w:sz="4" w:space="0" w:color="auto"/>
              <w:right w:val="single" w:sz="4" w:space="0" w:color="auto"/>
            </w:tcBorders>
            <w:hideMark/>
          </w:tcPr>
          <w:p w14:paraId="0DB2C931" w14:textId="77777777" w:rsidR="00960F2F" w:rsidRDefault="00960F2F">
            <w:pPr>
              <w:spacing w:before="0" w:after="0" w:line="240" w:lineRule="auto"/>
              <w:rPr>
                <w:rFonts w:ascii="Calibri" w:hAnsi="Calibri" w:cs="Calibri"/>
                <w:sz w:val="22"/>
                <w:szCs w:val="22"/>
              </w:rPr>
            </w:pPr>
            <w:r>
              <w:rPr>
                <w:rFonts w:ascii="Calibri" w:hAnsi="Calibri" w:cs="Calibri"/>
                <w:color w:val="000000"/>
                <w:sz w:val="22"/>
                <w:szCs w:val="22"/>
              </w:rPr>
              <w:t xml:space="preserve">The system tracks each claim throughout the adjudication process (including logging edits made to the claim) and retains transaction history to support claims processing, reporting, appeals, audits, and other uses. </w:t>
            </w:r>
          </w:p>
        </w:tc>
        <w:tc>
          <w:tcPr>
            <w:tcW w:w="2635" w:type="dxa"/>
            <w:tcBorders>
              <w:top w:val="nil"/>
              <w:left w:val="nil"/>
              <w:bottom w:val="single" w:sz="4" w:space="0" w:color="auto"/>
              <w:right w:val="single" w:sz="4" w:space="0" w:color="auto"/>
            </w:tcBorders>
            <w:hideMark/>
          </w:tcPr>
          <w:p w14:paraId="1EDD021E"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447.45</w:t>
            </w:r>
          </w:p>
          <w:p w14:paraId="1FA6FDE9"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42 CFR 431.17</w:t>
            </w:r>
          </w:p>
          <w:p w14:paraId="64679248" w14:textId="77777777" w:rsidR="00960F2F" w:rsidRDefault="00960F2F">
            <w:pPr>
              <w:spacing w:before="0" w:after="0" w:line="240" w:lineRule="auto"/>
              <w:rPr>
                <w:rFonts w:ascii="Calibri" w:hAnsi="Calibri" w:cs="Calibri"/>
                <w:sz w:val="22"/>
                <w:szCs w:val="22"/>
              </w:rPr>
            </w:pPr>
            <w:r>
              <w:rPr>
                <w:rFonts w:ascii="Calibri" w:hAnsi="Calibri" w:cs="Calibri"/>
                <w:sz w:val="22"/>
                <w:szCs w:val="22"/>
              </w:rPr>
              <w:t>SMM Part 11 Section 11325</w:t>
            </w:r>
          </w:p>
        </w:tc>
      </w:tr>
    </w:tbl>
    <w:p w14:paraId="33FC28EC" w14:textId="77777777" w:rsidR="00960F2F" w:rsidRDefault="00960F2F" w:rsidP="00960F2F">
      <w:pPr>
        <w:rPr>
          <w:rFonts w:ascii="Calibri" w:eastAsia="Times New Roman" w:hAnsi="Calibri" w:cs="Calibri"/>
          <w:b/>
          <w:bCs/>
          <w:sz w:val="22"/>
          <w:szCs w:val="22"/>
        </w:rPr>
      </w:pPr>
    </w:p>
    <w:p w14:paraId="2F6763BA" w14:textId="77777777" w:rsidR="00960F2F" w:rsidRDefault="00960F2F" w:rsidP="00960F2F">
      <w:pPr>
        <w:jc w:val="center"/>
        <w:rPr>
          <w:rFonts w:ascii="Calibri" w:eastAsia="Times New Roman" w:hAnsi="Calibri" w:cs="Calibri"/>
          <w:b/>
          <w:bCs/>
          <w:sz w:val="22"/>
          <w:szCs w:val="22"/>
        </w:rPr>
      </w:pPr>
    </w:p>
    <w:p w14:paraId="7A30105D" w14:textId="666AEF33" w:rsidR="00960F2F" w:rsidRDefault="00960F2F" w:rsidP="00960F2F">
      <w:pPr>
        <w:jc w:val="center"/>
        <w:rPr>
          <w:rFonts w:ascii="Calibri" w:eastAsia="Times New Roman" w:hAnsi="Calibri" w:cs="Calibri"/>
          <w:b/>
          <w:bCs/>
          <w:sz w:val="22"/>
          <w:szCs w:val="22"/>
        </w:rPr>
      </w:pPr>
      <w:r>
        <w:rPr>
          <w:rFonts w:ascii="Calibri" w:eastAsia="Times New Roman" w:hAnsi="Calibri" w:cs="Calibri"/>
          <w:b/>
          <w:bCs/>
          <w:sz w:val="22"/>
          <w:szCs w:val="22"/>
        </w:rPr>
        <w:t>Table B-3: Financial Management Outcomes</w:t>
      </w:r>
    </w:p>
    <w:p w14:paraId="20F0CA1B" w14:textId="77777777" w:rsidR="00960F2F" w:rsidRDefault="00960F2F" w:rsidP="00960F2F">
      <w:pPr>
        <w:jc w:val="center"/>
        <w:rPr>
          <w:rFonts w:ascii="Calibri" w:eastAsia="Calibri" w:hAnsi="Calibri" w:cs="Calibri"/>
          <w:b/>
          <w:bCs/>
          <w:i/>
          <w:iCs/>
          <w:sz w:val="22"/>
          <w:szCs w:val="22"/>
        </w:rPr>
      </w:pPr>
    </w:p>
    <w:tbl>
      <w:tblPr>
        <w:tblStyle w:val="TableGrid2"/>
        <w:tblW w:w="0" w:type="auto"/>
        <w:tblInd w:w="0" w:type="dxa"/>
        <w:tblLook w:val="04A0" w:firstRow="1" w:lastRow="0" w:firstColumn="1" w:lastColumn="0" w:noHBand="0" w:noVBand="1"/>
      </w:tblPr>
      <w:tblGrid>
        <w:gridCol w:w="1546"/>
        <w:gridCol w:w="3909"/>
        <w:gridCol w:w="3895"/>
      </w:tblGrid>
      <w:tr w:rsidR="00960F2F" w14:paraId="1DAA0A79" w14:textId="77777777" w:rsidTr="00960F2F">
        <w:trPr>
          <w:tblHeader/>
        </w:trPr>
        <w:tc>
          <w:tcPr>
            <w:tcW w:w="1546" w:type="dxa"/>
            <w:tcBorders>
              <w:top w:val="single" w:sz="4" w:space="0" w:color="auto"/>
              <w:left w:val="single" w:sz="4" w:space="0" w:color="auto"/>
              <w:bottom w:val="single" w:sz="4" w:space="0" w:color="auto"/>
              <w:right w:val="single" w:sz="4" w:space="0" w:color="auto"/>
            </w:tcBorders>
            <w:shd w:val="clear" w:color="auto" w:fill="4B6A88"/>
            <w:hideMark/>
          </w:tcPr>
          <w:p w14:paraId="50862D46" w14:textId="77777777" w:rsidR="00960F2F" w:rsidRDefault="00960F2F">
            <w:pPr>
              <w:jc w:val="center"/>
              <w:rPr>
                <w:rFonts w:ascii="Calibri" w:hAnsi="Calibri" w:cs="Calibri"/>
                <w:b/>
                <w:bCs/>
                <w:color w:val="FFFFFF"/>
                <w:sz w:val="22"/>
                <w:szCs w:val="22"/>
              </w:rPr>
            </w:pPr>
            <w:r>
              <w:rPr>
                <w:rFonts w:ascii="Calibri" w:hAnsi="Calibri" w:cs="Calibri"/>
                <w:b/>
                <w:bCs/>
                <w:color w:val="FFFFFF"/>
              </w:rPr>
              <w:t>Reference #</w:t>
            </w:r>
          </w:p>
        </w:tc>
        <w:tc>
          <w:tcPr>
            <w:tcW w:w="3909" w:type="dxa"/>
            <w:tcBorders>
              <w:top w:val="single" w:sz="4" w:space="0" w:color="auto"/>
              <w:left w:val="single" w:sz="4" w:space="0" w:color="auto"/>
              <w:bottom w:val="single" w:sz="4" w:space="0" w:color="auto"/>
              <w:right w:val="single" w:sz="4" w:space="0" w:color="auto"/>
            </w:tcBorders>
            <w:shd w:val="clear" w:color="auto" w:fill="4B6A88"/>
            <w:hideMark/>
          </w:tcPr>
          <w:p w14:paraId="4683AA80" w14:textId="77777777" w:rsidR="00960F2F" w:rsidRDefault="00960F2F">
            <w:pPr>
              <w:jc w:val="center"/>
              <w:rPr>
                <w:rFonts w:ascii="Calibri" w:hAnsi="Calibri" w:cs="Calibri"/>
                <w:b/>
                <w:bCs/>
                <w:color w:val="FFFFFF"/>
              </w:rPr>
            </w:pPr>
            <w:r>
              <w:rPr>
                <w:rFonts w:ascii="Calibri" w:hAnsi="Calibri" w:cs="Calibri"/>
                <w:b/>
                <w:bCs/>
                <w:color w:val="FFFFFF"/>
              </w:rPr>
              <w:t>Outcome</w:t>
            </w:r>
          </w:p>
        </w:tc>
        <w:tc>
          <w:tcPr>
            <w:tcW w:w="3895" w:type="dxa"/>
            <w:tcBorders>
              <w:top w:val="single" w:sz="4" w:space="0" w:color="auto"/>
              <w:left w:val="single" w:sz="4" w:space="0" w:color="auto"/>
              <w:bottom w:val="single" w:sz="4" w:space="0" w:color="auto"/>
              <w:right w:val="single" w:sz="4" w:space="0" w:color="auto"/>
            </w:tcBorders>
            <w:shd w:val="clear" w:color="auto" w:fill="4B6A88"/>
            <w:hideMark/>
          </w:tcPr>
          <w:p w14:paraId="4430C2B2" w14:textId="77777777" w:rsidR="00960F2F" w:rsidRDefault="00960F2F">
            <w:pPr>
              <w:jc w:val="center"/>
              <w:rPr>
                <w:rFonts w:ascii="Calibri" w:hAnsi="Calibri" w:cs="Calibri"/>
                <w:b/>
                <w:bCs/>
                <w:color w:val="FFFFFF"/>
              </w:rPr>
            </w:pPr>
            <w:r>
              <w:rPr>
                <w:rFonts w:ascii="Calibri" w:hAnsi="Calibri" w:cs="Calibri"/>
                <w:b/>
                <w:bCs/>
                <w:color w:val="FFFFFF"/>
              </w:rPr>
              <w:t>Source(s)</w:t>
            </w:r>
          </w:p>
        </w:tc>
      </w:tr>
      <w:tr w:rsidR="00960F2F" w14:paraId="7A7E50A9" w14:textId="77777777" w:rsidTr="00960F2F">
        <w:trPr>
          <w:trHeight w:val="2136"/>
        </w:trPr>
        <w:tc>
          <w:tcPr>
            <w:tcW w:w="1546" w:type="dxa"/>
            <w:tcBorders>
              <w:top w:val="single" w:sz="4" w:space="0" w:color="auto"/>
              <w:left w:val="single" w:sz="4" w:space="0" w:color="auto"/>
              <w:bottom w:val="single" w:sz="4" w:space="0" w:color="auto"/>
              <w:right w:val="single" w:sz="4" w:space="0" w:color="auto"/>
            </w:tcBorders>
            <w:hideMark/>
          </w:tcPr>
          <w:p w14:paraId="1F607556"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FM1</w:t>
            </w:r>
          </w:p>
        </w:tc>
        <w:tc>
          <w:tcPr>
            <w:tcW w:w="3909" w:type="dxa"/>
            <w:tcBorders>
              <w:top w:val="single" w:sz="4" w:space="0" w:color="auto"/>
              <w:left w:val="single" w:sz="4" w:space="0" w:color="auto"/>
              <w:bottom w:val="single" w:sz="4" w:space="0" w:color="auto"/>
              <w:right w:val="single" w:sz="4" w:space="0" w:color="auto"/>
            </w:tcBorders>
            <w:hideMark/>
          </w:tcPr>
          <w:p w14:paraId="5282329E" w14:textId="77777777" w:rsidR="00960F2F" w:rsidRDefault="00960F2F">
            <w:pPr>
              <w:rPr>
                <w:rFonts w:ascii="Calibri" w:eastAsia="Times New Roman" w:hAnsi="Calibri" w:cs="Calibri"/>
                <w:color w:val="000000"/>
              </w:rPr>
            </w:pPr>
            <w:r>
              <w:rPr>
                <w:rFonts w:ascii="Calibri" w:eastAsia="Times New Roman" w:hAnsi="Calibri" w:cs="Calibri"/>
                <w:color w:val="000000"/>
              </w:rPr>
              <w:t xml:space="preserve">The system calculates FFS provider payment or recoupment amounts, as well as </w:t>
            </w:r>
            <w:r>
              <w:rPr>
                <w:rFonts w:ascii="Calibri" w:eastAsia="Times New Roman" w:hAnsi="Calibri" w:cs="Calibri"/>
              </w:rPr>
              <w:t xml:space="preserve">value-based and alternative payment models (APM), </w:t>
            </w:r>
            <w:r>
              <w:rPr>
                <w:rFonts w:ascii="Calibri" w:eastAsia="Times New Roman" w:hAnsi="Calibri" w:cs="Calibri"/>
                <w:color w:val="000000"/>
              </w:rPr>
              <w:t>correctly and initiates payment or recoupment action as appropriate.</w:t>
            </w:r>
          </w:p>
        </w:tc>
        <w:tc>
          <w:tcPr>
            <w:tcW w:w="3895" w:type="dxa"/>
            <w:tcBorders>
              <w:top w:val="single" w:sz="4" w:space="0" w:color="auto"/>
              <w:left w:val="single" w:sz="4" w:space="0" w:color="auto"/>
              <w:bottom w:val="single" w:sz="4" w:space="0" w:color="auto"/>
              <w:right w:val="single" w:sz="4" w:space="0" w:color="auto"/>
            </w:tcBorders>
            <w:hideMark/>
          </w:tcPr>
          <w:p w14:paraId="67DCB116" w14:textId="77777777" w:rsidR="00960F2F" w:rsidRDefault="00960F2F">
            <w:pPr>
              <w:rPr>
                <w:rFonts w:ascii="Calibri" w:eastAsia="Times New Roman" w:hAnsi="Calibri" w:cs="Calibri"/>
              </w:rPr>
            </w:pPr>
            <w:r>
              <w:rPr>
                <w:rFonts w:ascii="Calibri" w:eastAsia="Times New Roman" w:hAnsi="Calibri" w:cs="Calibri"/>
              </w:rPr>
              <w:t xml:space="preserve">Section 1902(a)(37) of the Act </w:t>
            </w:r>
          </w:p>
          <w:p w14:paraId="18828318" w14:textId="77777777" w:rsidR="00960F2F" w:rsidRDefault="00960F2F">
            <w:pPr>
              <w:rPr>
                <w:rFonts w:ascii="Calibri" w:eastAsia="Times New Roman" w:hAnsi="Calibri" w:cs="Calibri"/>
              </w:rPr>
            </w:pPr>
            <w:r>
              <w:rPr>
                <w:rFonts w:ascii="Calibri" w:eastAsia="Times New Roman" w:hAnsi="Calibri" w:cs="Calibri"/>
              </w:rPr>
              <w:t>42 CFR 433.139</w:t>
            </w:r>
          </w:p>
          <w:p w14:paraId="61EBEAFC" w14:textId="77777777" w:rsidR="00960F2F" w:rsidRDefault="00960F2F">
            <w:pPr>
              <w:rPr>
                <w:rFonts w:ascii="Calibri" w:eastAsia="Times New Roman" w:hAnsi="Calibri" w:cs="Calibri"/>
              </w:rPr>
            </w:pPr>
            <w:r>
              <w:rPr>
                <w:rFonts w:ascii="Calibri" w:eastAsia="Times New Roman" w:hAnsi="Calibri" w:cs="Calibri"/>
              </w:rPr>
              <w:t xml:space="preserve">42 CFR 447.20 </w:t>
            </w:r>
          </w:p>
          <w:p w14:paraId="32A2B963" w14:textId="77777777" w:rsidR="00960F2F" w:rsidRDefault="00960F2F">
            <w:pPr>
              <w:rPr>
                <w:rFonts w:ascii="Calibri" w:eastAsia="Times New Roman" w:hAnsi="Calibri" w:cs="Calibri"/>
              </w:rPr>
            </w:pPr>
            <w:r>
              <w:rPr>
                <w:rFonts w:ascii="Calibri" w:eastAsia="Times New Roman" w:hAnsi="Calibri" w:cs="Calibri"/>
              </w:rPr>
              <w:t>42 CFR 447.45</w:t>
            </w:r>
            <w:r>
              <w:rPr>
                <w:rFonts w:ascii="Calibri" w:hAnsi="Calibri" w:cs="Calibri"/>
              </w:rPr>
              <w:br/>
            </w:r>
            <w:r>
              <w:rPr>
                <w:rFonts w:ascii="Calibri" w:eastAsia="Times New Roman" w:hAnsi="Calibri" w:cs="Calibri"/>
              </w:rPr>
              <w:t>42 CFR 447.56</w:t>
            </w:r>
          </w:p>
          <w:p w14:paraId="27AEDDC3" w14:textId="77777777" w:rsidR="00960F2F" w:rsidRDefault="00960F2F">
            <w:pPr>
              <w:rPr>
                <w:rFonts w:ascii="Calibri" w:eastAsia="Times New Roman" w:hAnsi="Calibri" w:cs="Calibri"/>
              </w:rPr>
            </w:pPr>
            <w:r>
              <w:rPr>
                <w:rFonts w:ascii="Calibri" w:eastAsia="Times New Roman" w:hAnsi="Calibri" w:cs="Calibri"/>
              </w:rPr>
              <w:t>42 CFR 447.272</w:t>
            </w:r>
          </w:p>
        </w:tc>
      </w:tr>
      <w:tr w:rsidR="00960F2F" w14:paraId="7E82820B" w14:textId="77777777" w:rsidTr="00960F2F">
        <w:trPr>
          <w:trHeight w:val="4035"/>
        </w:trPr>
        <w:tc>
          <w:tcPr>
            <w:tcW w:w="1546" w:type="dxa"/>
            <w:tcBorders>
              <w:top w:val="single" w:sz="4" w:space="0" w:color="auto"/>
              <w:left w:val="single" w:sz="4" w:space="0" w:color="auto"/>
              <w:bottom w:val="single" w:sz="4" w:space="0" w:color="auto"/>
              <w:right w:val="single" w:sz="4" w:space="0" w:color="auto"/>
            </w:tcBorders>
            <w:hideMark/>
          </w:tcPr>
          <w:p w14:paraId="5AE966E4"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FM2</w:t>
            </w:r>
          </w:p>
        </w:tc>
        <w:tc>
          <w:tcPr>
            <w:tcW w:w="3909" w:type="dxa"/>
            <w:tcBorders>
              <w:top w:val="single" w:sz="4" w:space="0" w:color="auto"/>
              <w:left w:val="single" w:sz="4" w:space="0" w:color="auto"/>
              <w:bottom w:val="single" w:sz="4" w:space="0" w:color="auto"/>
              <w:right w:val="single" w:sz="4" w:space="0" w:color="auto"/>
            </w:tcBorders>
            <w:hideMark/>
          </w:tcPr>
          <w:p w14:paraId="471D30A3" w14:textId="77777777" w:rsidR="00960F2F" w:rsidRDefault="00960F2F">
            <w:pPr>
              <w:rPr>
                <w:rFonts w:ascii="Calibri" w:eastAsia="Times New Roman" w:hAnsi="Calibri" w:cs="Calibri"/>
                <w:color w:val="000000"/>
              </w:rPr>
            </w:pPr>
            <w:r>
              <w:rPr>
                <w:rFonts w:ascii="Calibri" w:eastAsia="Times New Roman" w:hAnsi="Calibri" w:cs="Calibri"/>
                <w:color w:val="000000"/>
              </w:rPr>
              <w:t>The system pays providers promptly via direct transfer and electronic remittance advice or by paper check and remittance advice if electronic means are not available.</w:t>
            </w:r>
          </w:p>
        </w:tc>
        <w:tc>
          <w:tcPr>
            <w:tcW w:w="3895" w:type="dxa"/>
            <w:tcBorders>
              <w:top w:val="single" w:sz="4" w:space="0" w:color="auto"/>
              <w:left w:val="single" w:sz="4" w:space="0" w:color="auto"/>
              <w:bottom w:val="single" w:sz="4" w:space="0" w:color="auto"/>
              <w:right w:val="single" w:sz="4" w:space="0" w:color="auto"/>
            </w:tcBorders>
            <w:hideMark/>
          </w:tcPr>
          <w:p w14:paraId="45DFC810" w14:textId="77777777" w:rsidR="00960F2F" w:rsidRDefault="00960F2F">
            <w:pPr>
              <w:rPr>
                <w:rFonts w:ascii="Calibri" w:eastAsia="Times New Roman" w:hAnsi="Calibri" w:cs="Calibri"/>
                <w:color w:val="000000"/>
              </w:rPr>
            </w:pPr>
            <w:r>
              <w:rPr>
                <w:rFonts w:ascii="Calibri" w:eastAsia="Times New Roman" w:hAnsi="Calibri" w:cs="Calibri"/>
                <w:color w:val="000000"/>
              </w:rPr>
              <w:t>42 CFR 447.45</w:t>
            </w:r>
          </w:p>
          <w:p w14:paraId="350AE867" w14:textId="77777777" w:rsidR="00960F2F" w:rsidRDefault="00960F2F">
            <w:pPr>
              <w:rPr>
                <w:rFonts w:ascii="Calibri" w:eastAsia="Times New Roman" w:hAnsi="Calibri" w:cs="Calibri"/>
                <w:color w:val="000000"/>
              </w:rPr>
            </w:pPr>
            <w:r>
              <w:rPr>
                <w:rFonts w:ascii="Calibri" w:eastAsia="Times New Roman" w:hAnsi="Calibri" w:cs="Calibri"/>
                <w:color w:val="000000"/>
              </w:rPr>
              <w:t>42 CFR 447.46</w:t>
            </w:r>
          </w:p>
        </w:tc>
      </w:tr>
      <w:tr w:rsidR="00960F2F" w14:paraId="175CF570" w14:textId="77777777" w:rsidTr="00960F2F">
        <w:trPr>
          <w:trHeight w:val="1152"/>
        </w:trPr>
        <w:tc>
          <w:tcPr>
            <w:tcW w:w="1546" w:type="dxa"/>
            <w:tcBorders>
              <w:top w:val="single" w:sz="4" w:space="0" w:color="auto"/>
              <w:left w:val="single" w:sz="4" w:space="0" w:color="auto"/>
              <w:bottom w:val="single" w:sz="4" w:space="0" w:color="auto"/>
              <w:right w:val="single" w:sz="4" w:space="0" w:color="auto"/>
            </w:tcBorders>
            <w:hideMark/>
          </w:tcPr>
          <w:p w14:paraId="6FC3DCE6"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FM3</w:t>
            </w:r>
          </w:p>
        </w:tc>
        <w:tc>
          <w:tcPr>
            <w:tcW w:w="3909" w:type="dxa"/>
            <w:tcBorders>
              <w:top w:val="single" w:sz="4" w:space="0" w:color="auto"/>
              <w:left w:val="single" w:sz="4" w:space="0" w:color="auto"/>
              <w:bottom w:val="single" w:sz="4" w:space="0" w:color="auto"/>
              <w:right w:val="single" w:sz="4" w:space="0" w:color="auto"/>
            </w:tcBorders>
            <w:hideMark/>
          </w:tcPr>
          <w:p w14:paraId="47FE5BF7" w14:textId="77777777" w:rsidR="00960F2F" w:rsidRDefault="00960F2F">
            <w:pPr>
              <w:rPr>
                <w:rFonts w:ascii="Calibri" w:eastAsia="Times New Roman" w:hAnsi="Calibri" w:cs="Calibri"/>
                <w:color w:val="000000"/>
              </w:rPr>
            </w:pPr>
            <w:r>
              <w:rPr>
                <w:rFonts w:ascii="Calibri" w:eastAsia="Times New Roman" w:hAnsi="Calibri" w:cs="Calibri"/>
                <w:color w:val="000000"/>
              </w:rPr>
              <w:t>The system supports the provider appeals by providing a financial history of the claim along with any adjustments to the provider's account resulting from an appeal.</w:t>
            </w:r>
          </w:p>
        </w:tc>
        <w:tc>
          <w:tcPr>
            <w:tcW w:w="3895" w:type="dxa"/>
            <w:tcBorders>
              <w:top w:val="single" w:sz="4" w:space="0" w:color="auto"/>
              <w:left w:val="single" w:sz="4" w:space="0" w:color="auto"/>
              <w:bottom w:val="single" w:sz="4" w:space="0" w:color="auto"/>
              <w:right w:val="single" w:sz="4" w:space="0" w:color="auto"/>
            </w:tcBorders>
            <w:hideMark/>
          </w:tcPr>
          <w:p w14:paraId="041AE8AD" w14:textId="77777777" w:rsidR="00960F2F" w:rsidRDefault="00960F2F">
            <w:pPr>
              <w:rPr>
                <w:rFonts w:ascii="Calibri" w:eastAsia="Times New Roman" w:hAnsi="Calibri" w:cs="Calibri"/>
              </w:rPr>
            </w:pPr>
            <w:r>
              <w:rPr>
                <w:rFonts w:ascii="Calibri" w:eastAsia="Times New Roman" w:hAnsi="Calibri" w:cs="Calibri"/>
              </w:rPr>
              <w:t>42 CFR 431.152</w:t>
            </w:r>
          </w:p>
        </w:tc>
      </w:tr>
      <w:tr w:rsidR="00960F2F" w14:paraId="324DBA7A" w14:textId="77777777" w:rsidTr="00960F2F">
        <w:trPr>
          <w:trHeight w:val="1938"/>
        </w:trPr>
        <w:tc>
          <w:tcPr>
            <w:tcW w:w="1546" w:type="dxa"/>
            <w:tcBorders>
              <w:top w:val="single" w:sz="4" w:space="0" w:color="auto"/>
              <w:left w:val="single" w:sz="4" w:space="0" w:color="auto"/>
              <w:bottom w:val="single" w:sz="4" w:space="0" w:color="auto"/>
              <w:right w:val="single" w:sz="4" w:space="0" w:color="auto"/>
            </w:tcBorders>
            <w:hideMark/>
          </w:tcPr>
          <w:p w14:paraId="64409331"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FM4</w:t>
            </w:r>
          </w:p>
        </w:tc>
        <w:tc>
          <w:tcPr>
            <w:tcW w:w="3909" w:type="dxa"/>
            <w:tcBorders>
              <w:top w:val="single" w:sz="4" w:space="0" w:color="auto"/>
              <w:left w:val="single" w:sz="4" w:space="0" w:color="auto"/>
              <w:bottom w:val="single" w:sz="4" w:space="0" w:color="auto"/>
              <w:right w:val="single" w:sz="4" w:space="0" w:color="auto"/>
            </w:tcBorders>
            <w:hideMark/>
          </w:tcPr>
          <w:p w14:paraId="1C5B9FE9" w14:textId="77777777" w:rsidR="00960F2F" w:rsidRDefault="00960F2F">
            <w:pPr>
              <w:rPr>
                <w:rFonts w:ascii="Calibri" w:eastAsia="Times New Roman" w:hAnsi="Calibri" w:cs="Calibri"/>
              </w:rPr>
            </w:pPr>
            <w:r>
              <w:rPr>
                <w:rFonts w:ascii="Calibri" w:eastAsia="Times New Roman" w:hAnsi="Calibri" w:cs="Calibri"/>
              </w:rPr>
              <w:t>The system accurately pays per member/per month capitation payments electronically in a timely fashion. Payments account for reconciliation of withholds, incentives, payment errors, beneficiary cost sharing, and any other term laid out in an MCO contract.</w:t>
            </w:r>
          </w:p>
        </w:tc>
        <w:tc>
          <w:tcPr>
            <w:tcW w:w="3895" w:type="dxa"/>
            <w:tcBorders>
              <w:top w:val="single" w:sz="4" w:space="0" w:color="auto"/>
              <w:left w:val="single" w:sz="4" w:space="0" w:color="auto"/>
              <w:bottom w:val="single" w:sz="4" w:space="0" w:color="auto"/>
              <w:right w:val="single" w:sz="4" w:space="0" w:color="auto"/>
            </w:tcBorders>
            <w:hideMark/>
          </w:tcPr>
          <w:p w14:paraId="021270B6" w14:textId="77777777" w:rsidR="00960F2F" w:rsidRDefault="00960F2F">
            <w:pPr>
              <w:rPr>
                <w:rFonts w:ascii="Calibri" w:eastAsia="Times New Roman" w:hAnsi="Calibri" w:cs="Calibri"/>
                <w:color w:val="000000"/>
              </w:rPr>
            </w:pPr>
            <w:r>
              <w:rPr>
                <w:rFonts w:ascii="Calibri" w:eastAsia="Times New Roman" w:hAnsi="Calibri" w:cs="Calibri"/>
              </w:rPr>
              <w:t xml:space="preserve">42 </w:t>
            </w:r>
            <w:r>
              <w:rPr>
                <w:rFonts w:ascii="Calibri" w:eastAsia="Times New Roman" w:hAnsi="Calibri" w:cs="Calibri"/>
                <w:color w:val="000000"/>
              </w:rPr>
              <w:t>CFR 438</w:t>
            </w:r>
          </w:p>
          <w:p w14:paraId="187A9909" w14:textId="77777777" w:rsidR="00960F2F" w:rsidRDefault="00960F2F">
            <w:pPr>
              <w:rPr>
                <w:rFonts w:ascii="Calibri" w:eastAsia="Times New Roman" w:hAnsi="Calibri" w:cs="Calibri"/>
              </w:rPr>
            </w:pPr>
            <w:r>
              <w:rPr>
                <w:rFonts w:ascii="Calibri" w:eastAsia="Times New Roman" w:hAnsi="Calibri" w:cs="Calibri"/>
                <w:color w:val="000000"/>
              </w:rPr>
              <w:t>42 CFR 447.56(d)</w:t>
            </w:r>
          </w:p>
        </w:tc>
      </w:tr>
      <w:tr w:rsidR="00960F2F" w14:paraId="6D08C263" w14:textId="77777777" w:rsidTr="00960F2F">
        <w:trPr>
          <w:trHeight w:val="1389"/>
        </w:trPr>
        <w:tc>
          <w:tcPr>
            <w:tcW w:w="1546" w:type="dxa"/>
            <w:tcBorders>
              <w:top w:val="single" w:sz="4" w:space="0" w:color="auto"/>
              <w:left w:val="single" w:sz="4" w:space="0" w:color="auto"/>
              <w:bottom w:val="single" w:sz="4" w:space="0" w:color="auto"/>
              <w:right w:val="single" w:sz="4" w:space="0" w:color="auto"/>
            </w:tcBorders>
            <w:hideMark/>
          </w:tcPr>
          <w:p w14:paraId="6AF79A62"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FM5</w:t>
            </w:r>
          </w:p>
        </w:tc>
        <w:tc>
          <w:tcPr>
            <w:tcW w:w="3909" w:type="dxa"/>
            <w:tcBorders>
              <w:top w:val="single" w:sz="4" w:space="0" w:color="auto"/>
              <w:left w:val="single" w:sz="4" w:space="0" w:color="auto"/>
              <w:bottom w:val="single" w:sz="4" w:space="0" w:color="auto"/>
              <w:right w:val="single" w:sz="4" w:space="0" w:color="auto"/>
            </w:tcBorders>
            <w:hideMark/>
          </w:tcPr>
          <w:p w14:paraId="37EA870E" w14:textId="77777777" w:rsidR="00960F2F" w:rsidRDefault="00960F2F">
            <w:pPr>
              <w:rPr>
                <w:rFonts w:ascii="Calibri" w:eastAsia="Times New Roman" w:hAnsi="Calibri" w:cs="Calibri"/>
                <w:color w:val="000000"/>
              </w:rPr>
            </w:pPr>
            <w:r>
              <w:rPr>
                <w:rFonts w:ascii="Calibri" w:eastAsia="Times New Roman" w:hAnsi="Calibri" w:cs="Calibri"/>
                <w:color w:val="000000"/>
              </w:rPr>
              <w:t>The system accurately tallies recoupments by tracking repayments and amounts outstanding for individual transactions and in aggregate for a provider.</w:t>
            </w:r>
          </w:p>
        </w:tc>
        <w:tc>
          <w:tcPr>
            <w:tcW w:w="3895" w:type="dxa"/>
            <w:tcBorders>
              <w:top w:val="single" w:sz="4" w:space="0" w:color="auto"/>
              <w:left w:val="single" w:sz="4" w:space="0" w:color="auto"/>
              <w:bottom w:val="single" w:sz="4" w:space="0" w:color="auto"/>
              <w:right w:val="single" w:sz="4" w:space="0" w:color="auto"/>
            </w:tcBorders>
            <w:hideMark/>
          </w:tcPr>
          <w:p w14:paraId="3B4BFBD4" w14:textId="77777777" w:rsidR="00960F2F" w:rsidRDefault="00960F2F">
            <w:pPr>
              <w:rPr>
                <w:rFonts w:ascii="Calibri" w:eastAsia="Times New Roman" w:hAnsi="Calibri" w:cs="Calibri"/>
                <w:color w:val="000000"/>
              </w:rPr>
            </w:pPr>
            <w:r>
              <w:rPr>
                <w:rFonts w:ascii="Calibri" w:eastAsia="Times New Roman" w:hAnsi="Calibri" w:cs="Calibri"/>
                <w:color w:val="000000"/>
              </w:rPr>
              <w:t>42 CFR 447</w:t>
            </w:r>
          </w:p>
        </w:tc>
      </w:tr>
      <w:tr w:rsidR="00960F2F" w14:paraId="6FF76C3D" w14:textId="77777777" w:rsidTr="00960F2F">
        <w:trPr>
          <w:trHeight w:val="2208"/>
        </w:trPr>
        <w:tc>
          <w:tcPr>
            <w:tcW w:w="1546" w:type="dxa"/>
            <w:tcBorders>
              <w:top w:val="single" w:sz="4" w:space="0" w:color="auto"/>
              <w:left w:val="single" w:sz="4" w:space="0" w:color="auto"/>
              <w:bottom w:val="single" w:sz="4" w:space="0" w:color="auto"/>
              <w:right w:val="single" w:sz="4" w:space="0" w:color="auto"/>
            </w:tcBorders>
            <w:hideMark/>
          </w:tcPr>
          <w:p w14:paraId="04165005"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FM6</w:t>
            </w:r>
          </w:p>
        </w:tc>
        <w:tc>
          <w:tcPr>
            <w:tcW w:w="3909" w:type="dxa"/>
            <w:tcBorders>
              <w:top w:val="single" w:sz="4" w:space="0" w:color="auto"/>
              <w:left w:val="single" w:sz="4" w:space="0" w:color="auto"/>
              <w:bottom w:val="single" w:sz="4" w:space="0" w:color="auto"/>
              <w:right w:val="single" w:sz="4" w:space="0" w:color="auto"/>
            </w:tcBorders>
            <w:hideMark/>
          </w:tcPr>
          <w:p w14:paraId="670893A0" w14:textId="77777777" w:rsidR="00960F2F" w:rsidRDefault="00960F2F">
            <w:pPr>
              <w:rPr>
                <w:rFonts w:ascii="Calibri" w:eastAsia="Times New Roman" w:hAnsi="Calibri" w:cs="Calibri"/>
                <w:color w:val="000000"/>
              </w:rPr>
            </w:pPr>
            <w:r>
              <w:rPr>
                <w:rFonts w:ascii="Calibri" w:eastAsia="Times New Roman" w:hAnsi="Calibri" w:cs="Calibri"/>
                <w:color w:val="000000"/>
              </w:rPr>
              <w:t>The state recovers third party liability (TPL) payments by:</w:t>
            </w:r>
          </w:p>
          <w:p w14:paraId="4F1449B9" w14:textId="77777777" w:rsidR="00960F2F" w:rsidRDefault="00960F2F" w:rsidP="00960F2F">
            <w:pPr>
              <w:numPr>
                <w:ilvl w:val="0"/>
                <w:numId w:val="2"/>
              </w:numPr>
              <w:ind w:left="590"/>
              <w:contextualSpacing/>
              <w:rPr>
                <w:rFonts w:ascii="Calibri" w:eastAsia="Times New Roman" w:hAnsi="Calibri" w:cs="Calibri"/>
                <w:color w:val="000000"/>
              </w:rPr>
            </w:pPr>
            <w:r>
              <w:rPr>
                <w:rFonts w:ascii="Calibri" w:eastAsia="Times New Roman" w:hAnsi="Calibri" w:cs="Calibri"/>
                <w:color w:val="000000"/>
              </w:rPr>
              <w:t>Tracking individual TPL transactions, repayments, outstanding amounts due,</w:t>
            </w:r>
          </w:p>
          <w:p w14:paraId="585D2DED" w14:textId="77777777" w:rsidR="00960F2F" w:rsidRDefault="00960F2F" w:rsidP="00960F2F">
            <w:pPr>
              <w:numPr>
                <w:ilvl w:val="0"/>
                <w:numId w:val="2"/>
              </w:numPr>
              <w:ind w:left="590"/>
              <w:contextualSpacing/>
              <w:rPr>
                <w:rFonts w:ascii="Calibri" w:eastAsia="Times New Roman" w:hAnsi="Calibri" w:cs="Calibri"/>
                <w:color w:val="000000"/>
              </w:rPr>
            </w:pPr>
            <w:r>
              <w:rPr>
                <w:rFonts w:ascii="Calibri" w:eastAsia="Times New Roman" w:hAnsi="Calibri" w:cs="Calibri"/>
                <w:color w:val="000000"/>
              </w:rPr>
              <w:t xml:space="preserve">Aggregating by member, member type, provider, third party, and </w:t>
            </w:r>
            <w:proofErr w:type="gramStart"/>
            <w:r>
              <w:rPr>
                <w:rFonts w:ascii="Calibri" w:eastAsia="Times New Roman" w:hAnsi="Calibri" w:cs="Calibri"/>
                <w:color w:val="000000"/>
              </w:rPr>
              <w:t>time period</w:t>
            </w:r>
            <w:proofErr w:type="gramEnd"/>
            <w:r>
              <w:rPr>
                <w:rFonts w:ascii="Calibri" w:eastAsia="Times New Roman" w:hAnsi="Calibri" w:cs="Calibri"/>
                <w:color w:val="000000"/>
              </w:rPr>
              <w:t>,</w:t>
            </w:r>
          </w:p>
          <w:p w14:paraId="09B7B046" w14:textId="77777777" w:rsidR="00960F2F" w:rsidRDefault="00960F2F" w:rsidP="00960F2F">
            <w:pPr>
              <w:numPr>
                <w:ilvl w:val="0"/>
                <w:numId w:val="2"/>
              </w:numPr>
              <w:ind w:left="590"/>
              <w:contextualSpacing/>
              <w:rPr>
                <w:rFonts w:ascii="Calibri" w:eastAsia="Times New Roman" w:hAnsi="Calibri" w:cs="Calibri"/>
                <w:color w:val="000000"/>
              </w:rPr>
            </w:pPr>
            <w:r>
              <w:rPr>
                <w:rFonts w:ascii="Calibri" w:eastAsia="Times New Roman" w:hAnsi="Calibri" w:cs="Calibri"/>
                <w:color w:val="000000"/>
              </w:rPr>
              <w:t>Alerting state recovery units when appropriate, and</w:t>
            </w:r>
          </w:p>
          <w:p w14:paraId="66F2125E" w14:textId="77777777" w:rsidR="00960F2F" w:rsidRDefault="00960F2F" w:rsidP="00960F2F">
            <w:pPr>
              <w:numPr>
                <w:ilvl w:val="0"/>
                <w:numId w:val="2"/>
              </w:numPr>
              <w:ind w:left="590"/>
              <w:contextualSpacing/>
              <w:rPr>
                <w:rFonts w:ascii="Calibri" w:eastAsia="Times New Roman" w:hAnsi="Calibri" w:cs="Calibri"/>
                <w:color w:val="000000"/>
              </w:rPr>
            </w:pPr>
            <w:r>
              <w:rPr>
                <w:rFonts w:ascii="Calibri" w:eastAsia="Times New Roman" w:hAnsi="Calibri" w:cs="Calibri"/>
                <w:color w:val="000000"/>
              </w:rPr>
              <w:t>Electronically transferring payments to the state.</w:t>
            </w:r>
          </w:p>
        </w:tc>
        <w:tc>
          <w:tcPr>
            <w:tcW w:w="3895" w:type="dxa"/>
            <w:tcBorders>
              <w:top w:val="single" w:sz="4" w:space="0" w:color="auto"/>
              <w:left w:val="single" w:sz="4" w:space="0" w:color="auto"/>
              <w:bottom w:val="single" w:sz="4" w:space="0" w:color="auto"/>
              <w:right w:val="single" w:sz="4" w:space="0" w:color="auto"/>
            </w:tcBorders>
            <w:hideMark/>
          </w:tcPr>
          <w:p w14:paraId="6FB78F0A" w14:textId="77777777" w:rsidR="00960F2F" w:rsidRDefault="00960F2F">
            <w:pPr>
              <w:rPr>
                <w:rFonts w:ascii="Calibri" w:eastAsia="Times New Roman" w:hAnsi="Calibri" w:cs="Calibri"/>
                <w:color w:val="000000"/>
              </w:rPr>
            </w:pPr>
            <w:r>
              <w:rPr>
                <w:rFonts w:ascii="Calibri" w:eastAsia="Times New Roman" w:hAnsi="Calibri" w:cs="Calibri"/>
                <w:color w:val="000000"/>
              </w:rPr>
              <w:t>42 CFR 433.139</w:t>
            </w:r>
          </w:p>
        </w:tc>
      </w:tr>
      <w:tr w:rsidR="00960F2F" w14:paraId="1895F209" w14:textId="77777777" w:rsidTr="00960F2F">
        <w:trPr>
          <w:trHeight w:val="633"/>
        </w:trPr>
        <w:tc>
          <w:tcPr>
            <w:tcW w:w="1546" w:type="dxa"/>
            <w:tcBorders>
              <w:top w:val="single" w:sz="4" w:space="0" w:color="auto"/>
              <w:left w:val="single" w:sz="4" w:space="0" w:color="auto"/>
              <w:bottom w:val="single" w:sz="4" w:space="0" w:color="auto"/>
              <w:right w:val="single" w:sz="4" w:space="0" w:color="auto"/>
            </w:tcBorders>
            <w:hideMark/>
          </w:tcPr>
          <w:p w14:paraId="020058E0"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FM7</w:t>
            </w:r>
          </w:p>
        </w:tc>
        <w:tc>
          <w:tcPr>
            <w:tcW w:w="3909" w:type="dxa"/>
            <w:tcBorders>
              <w:top w:val="single" w:sz="4" w:space="0" w:color="auto"/>
              <w:left w:val="single" w:sz="4" w:space="0" w:color="auto"/>
              <w:bottom w:val="single" w:sz="4" w:space="0" w:color="auto"/>
              <w:right w:val="single" w:sz="4" w:space="0" w:color="auto"/>
            </w:tcBorders>
            <w:hideMark/>
          </w:tcPr>
          <w:p w14:paraId="625E2E76" w14:textId="77777777" w:rsidR="00960F2F" w:rsidRDefault="00960F2F">
            <w:pPr>
              <w:rPr>
                <w:rFonts w:ascii="Calibri" w:eastAsia="Times New Roman" w:hAnsi="Calibri" w:cs="Calibri"/>
                <w:color w:val="000000"/>
              </w:rPr>
            </w:pPr>
            <w:r>
              <w:rPr>
                <w:rFonts w:ascii="Calibri" w:eastAsia="Times New Roman" w:hAnsi="Calibri" w:cs="Calibri"/>
                <w:color w:val="000000"/>
              </w:rPr>
              <w:t>The system processes drug rebates accurately and quickly.</w:t>
            </w:r>
          </w:p>
        </w:tc>
        <w:tc>
          <w:tcPr>
            <w:tcW w:w="3895" w:type="dxa"/>
            <w:tcBorders>
              <w:top w:val="single" w:sz="4" w:space="0" w:color="auto"/>
              <w:left w:val="single" w:sz="4" w:space="0" w:color="auto"/>
              <w:bottom w:val="single" w:sz="4" w:space="0" w:color="auto"/>
              <w:right w:val="single" w:sz="4" w:space="0" w:color="auto"/>
            </w:tcBorders>
            <w:hideMark/>
          </w:tcPr>
          <w:p w14:paraId="522961B3" w14:textId="77777777" w:rsidR="00960F2F" w:rsidRDefault="00960F2F">
            <w:pPr>
              <w:rPr>
                <w:rFonts w:ascii="Calibri" w:eastAsia="Times New Roman" w:hAnsi="Calibri" w:cs="Calibri"/>
                <w:color w:val="000000"/>
              </w:rPr>
            </w:pPr>
            <w:r>
              <w:rPr>
                <w:rFonts w:ascii="Calibri" w:eastAsia="Times New Roman" w:hAnsi="Calibri" w:cs="Calibri"/>
                <w:color w:val="000000"/>
              </w:rPr>
              <w:t>42 CFR 447.509</w:t>
            </w:r>
          </w:p>
        </w:tc>
      </w:tr>
      <w:tr w:rsidR="00960F2F" w14:paraId="5E52FC54" w14:textId="77777777" w:rsidTr="00960F2F">
        <w:trPr>
          <w:trHeight w:val="1987"/>
        </w:trPr>
        <w:tc>
          <w:tcPr>
            <w:tcW w:w="1546" w:type="dxa"/>
            <w:tcBorders>
              <w:top w:val="single" w:sz="4" w:space="0" w:color="auto"/>
              <w:left w:val="single" w:sz="4" w:space="0" w:color="auto"/>
              <w:bottom w:val="single" w:sz="4" w:space="0" w:color="auto"/>
              <w:right w:val="single" w:sz="4" w:space="0" w:color="auto"/>
            </w:tcBorders>
            <w:hideMark/>
          </w:tcPr>
          <w:p w14:paraId="4B730D39"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FM8</w:t>
            </w:r>
          </w:p>
        </w:tc>
        <w:tc>
          <w:tcPr>
            <w:tcW w:w="3909" w:type="dxa"/>
            <w:tcBorders>
              <w:top w:val="single" w:sz="4" w:space="0" w:color="auto"/>
              <w:left w:val="single" w:sz="4" w:space="0" w:color="auto"/>
              <w:bottom w:val="single" w:sz="4" w:space="0" w:color="auto"/>
              <w:right w:val="single" w:sz="4" w:space="0" w:color="auto"/>
            </w:tcBorders>
            <w:hideMark/>
          </w:tcPr>
          <w:p w14:paraId="17CF2843" w14:textId="77777777" w:rsidR="00960F2F" w:rsidRDefault="00960F2F">
            <w:pPr>
              <w:rPr>
                <w:rFonts w:ascii="Calibri" w:eastAsia="Times New Roman" w:hAnsi="Calibri" w:cs="Calibri"/>
                <w:color w:val="000000"/>
              </w:rPr>
            </w:pPr>
            <w:r>
              <w:rPr>
                <w:rFonts w:ascii="Calibri" w:eastAsia="Times New Roman" w:hAnsi="Calibri" w:cs="Calibri"/>
                <w:color w:val="000000"/>
              </w:rPr>
              <w:t>State and federal entities receive timely and accurate financial reports (cost reporting, financial monitoring, and regulatory reporting), and record of all transactions according to state and federal accounting, transaction retention, and audit standards.</w:t>
            </w:r>
          </w:p>
        </w:tc>
        <w:tc>
          <w:tcPr>
            <w:tcW w:w="3895" w:type="dxa"/>
            <w:tcBorders>
              <w:top w:val="single" w:sz="4" w:space="0" w:color="auto"/>
              <w:left w:val="single" w:sz="4" w:space="0" w:color="auto"/>
              <w:bottom w:val="single" w:sz="4" w:space="0" w:color="auto"/>
              <w:right w:val="single" w:sz="4" w:space="0" w:color="auto"/>
            </w:tcBorders>
            <w:hideMark/>
          </w:tcPr>
          <w:p w14:paraId="0148630B" w14:textId="77777777" w:rsidR="00960F2F" w:rsidRDefault="00960F2F">
            <w:pPr>
              <w:rPr>
                <w:rFonts w:ascii="Calibri" w:eastAsia="Times New Roman" w:hAnsi="Calibri" w:cs="Calibri"/>
                <w:color w:val="000000"/>
              </w:rPr>
            </w:pPr>
            <w:r>
              <w:rPr>
                <w:rFonts w:ascii="Calibri" w:eastAsia="Times New Roman" w:hAnsi="Calibri" w:cs="Calibri"/>
                <w:color w:val="000000"/>
              </w:rPr>
              <w:t>42 CFR 431.428</w:t>
            </w:r>
          </w:p>
          <w:p w14:paraId="510C4229" w14:textId="77777777" w:rsidR="00960F2F" w:rsidRDefault="00960F2F">
            <w:pPr>
              <w:rPr>
                <w:rFonts w:ascii="Calibri" w:eastAsia="Times New Roman" w:hAnsi="Calibri" w:cs="Calibri"/>
                <w:color w:val="000000"/>
              </w:rPr>
            </w:pPr>
            <w:r>
              <w:rPr>
                <w:rFonts w:ascii="Calibri" w:eastAsia="Times New Roman" w:hAnsi="Calibri" w:cs="Calibri"/>
                <w:color w:val="000000"/>
              </w:rPr>
              <w:t>42 CFR 433.32</w:t>
            </w:r>
          </w:p>
        </w:tc>
      </w:tr>
      <w:tr w:rsidR="00960F2F" w14:paraId="506954EB" w14:textId="77777777" w:rsidTr="00960F2F">
        <w:trPr>
          <w:trHeight w:val="2592"/>
        </w:trPr>
        <w:tc>
          <w:tcPr>
            <w:tcW w:w="1546" w:type="dxa"/>
            <w:tcBorders>
              <w:top w:val="single" w:sz="4" w:space="0" w:color="auto"/>
              <w:left w:val="single" w:sz="4" w:space="0" w:color="auto"/>
              <w:bottom w:val="single" w:sz="4" w:space="0" w:color="auto"/>
              <w:right w:val="single" w:sz="4" w:space="0" w:color="auto"/>
            </w:tcBorders>
            <w:hideMark/>
          </w:tcPr>
          <w:p w14:paraId="30A71B3A" w14:textId="77777777" w:rsidR="00960F2F" w:rsidRDefault="00960F2F">
            <w:pPr>
              <w:jc w:val="center"/>
              <w:rPr>
                <w:rFonts w:ascii="Calibri" w:eastAsia="Times New Roman" w:hAnsi="Calibri" w:cs="Calibri"/>
                <w:b/>
                <w:bCs/>
                <w:color w:val="000000"/>
              </w:rPr>
            </w:pPr>
            <w:r>
              <w:rPr>
                <w:rFonts w:ascii="Calibri" w:eastAsia="Times New Roman" w:hAnsi="Calibri" w:cs="Calibri"/>
                <w:b/>
                <w:bCs/>
                <w:color w:val="000000"/>
              </w:rPr>
              <w:t>FM9</w:t>
            </w:r>
          </w:p>
        </w:tc>
        <w:tc>
          <w:tcPr>
            <w:tcW w:w="3909" w:type="dxa"/>
            <w:tcBorders>
              <w:top w:val="single" w:sz="4" w:space="0" w:color="auto"/>
              <w:left w:val="single" w:sz="4" w:space="0" w:color="auto"/>
              <w:bottom w:val="single" w:sz="4" w:space="0" w:color="auto"/>
              <w:right w:val="single" w:sz="4" w:space="0" w:color="auto"/>
            </w:tcBorders>
            <w:hideMark/>
          </w:tcPr>
          <w:p w14:paraId="15CC4B73" w14:textId="77777777" w:rsidR="00960F2F" w:rsidRDefault="00960F2F">
            <w:pPr>
              <w:rPr>
                <w:rFonts w:ascii="Calibri" w:eastAsia="Times New Roman" w:hAnsi="Calibri" w:cs="Calibri"/>
                <w:color w:val="000000"/>
              </w:rPr>
            </w:pPr>
            <w:r>
              <w:rPr>
                <w:rFonts w:ascii="Calibri" w:eastAsia="Times New Roman" w:hAnsi="Calibri" w:cs="Calibri"/>
                <w:color w:val="000000"/>
              </w:rPr>
              <w:t>The system tracks that Medicaid premiums and cost sharing incurred by all individuals in the Medicaid household does not exceed an aggregate limit of five percent of the family's income. If the beneficiaries at risk of reaching the aggregate family limit, the system tracks each family's incurred premiums and cost sharing without relying on beneficiary documentation.</w:t>
            </w:r>
          </w:p>
        </w:tc>
        <w:tc>
          <w:tcPr>
            <w:tcW w:w="3895" w:type="dxa"/>
            <w:tcBorders>
              <w:top w:val="single" w:sz="4" w:space="0" w:color="auto"/>
              <w:left w:val="single" w:sz="4" w:space="0" w:color="auto"/>
              <w:bottom w:val="single" w:sz="4" w:space="0" w:color="auto"/>
              <w:right w:val="single" w:sz="4" w:space="0" w:color="auto"/>
            </w:tcBorders>
            <w:hideMark/>
          </w:tcPr>
          <w:p w14:paraId="59774A46" w14:textId="77777777" w:rsidR="00960F2F" w:rsidRDefault="00960F2F">
            <w:pPr>
              <w:rPr>
                <w:rFonts w:ascii="Calibri" w:eastAsia="Times New Roman" w:hAnsi="Calibri" w:cs="Calibri"/>
                <w:color w:val="000000"/>
              </w:rPr>
            </w:pPr>
            <w:r>
              <w:rPr>
                <w:rFonts w:ascii="Calibri" w:eastAsia="Times New Roman" w:hAnsi="Calibri" w:cs="Calibri"/>
                <w:color w:val="000000"/>
              </w:rPr>
              <w:t>42 CFR 447.56(f)</w:t>
            </w:r>
          </w:p>
        </w:tc>
      </w:tr>
    </w:tbl>
    <w:p w14:paraId="73EB8E04" w14:textId="77777777" w:rsidR="00960F2F" w:rsidRDefault="00960F2F" w:rsidP="00960F2F">
      <w:pPr>
        <w:rPr>
          <w:rFonts w:ascii="Calibri" w:eastAsia="Times New Roman" w:hAnsi="Calibri" w:cs="Calibri"/>
          <w:b/>
          <w:bCs/>
          <w:sz w:val="22"/>
          <w:szCs w:val="22"/>
        </w:rPr>
      </w:pPr>
    </w:p>
    <w:p w14:paraId="2EB416B5" w14:textId="77777777" w:rsidR="00960F2F" w:rsidRDefault="00960F2F" w:rsidP="00960F2F">
      <w:pPr>
        <w:rPr>
          <w:rFonts w:ascii="Calibri" w:eastAsia="Times New Roman" w:hAnsi="Calibri" w:cs="Calibri"/>
          <w:b/>
          <w:bCs/>
          <w:sz w:val="22"/>
          <w:szCs w:val="22"/>
        </w:rPr>
      </w:pPr>
    </w:p>
    <w:p w14:paraId="4DD7DCEB" w14:textId="2C699523" w:rsidR="00960F2F" w:rsidRDefault="00960F2F" w:rsidP="00960F2F">
      <w:pPr>
        <w:rPr>
          <w:rFonts w:ascii="Calibri" w:eastAsia="Times New Roman" w:hAnsi="Calibri" w:cs="Calibri"/>
          <w:b/>
          <w:bCs/>
          <w:sz w:val="22"/>
          <w:szCs w:val="22"/>
        </w:rPr>
      </w:pPr>
      <w:r>
        <w:rPr>
          <w:rFonts w:ascii="Calibri" w:eastAsia="Times New Roman" w:hAnsi="Calibri" w:cs="Calibri"/>
          <w:b/>
          <w:bCs/>
          <w:sz w:val="22"/>
          <w:szCs w:val="22"/>
        </w:rPr>
        <w:br w:type="page"/>
      </w:r>
    </w:p>
    <w:p w14:paraId="6E96B022" w14:textId="77777777" w:rsidR="00960F2F" w:rsidRDefault="00960F2F" w:rsidP="00960F2F">
      <w:pPr>
        <w:jc w:val="center"/>
        <w:rPr>
          <w:rFonts w:ascii="Calibri" w:eastAsia="Times New Roman" w:hAnsi="Calibri" w:cs="Calibri"/>
          <w:b/>
          <w:bCs/>
          <w:sz w:val="22"/>
          <w:szCs w:val="22"/>
        </w:rPr>
      </w:pPr>
      <w:r>
        <w:rPr>
          <w:rFonts w:ascii="Calibri" w:eastAsia="Times New Roman" w:hAnsi="Calibri" w:cs="Calibri"/>
          <w:b/>
          <w:bCs/>
          <w:sz w:val="22"/>
          <w:szCs w:val="22"/>
        </w:rPr>
        <w:t>Table B-5: Encounter Processing System (EPS) Outcomes</w:t>
      </w:r>
    </w:p>
    <w:p w14:paraId="25EFFEE4" w14:textId="77777777" w:rsidR="00960F2F" w:rsidRDefault="00960F2F" w:rsidP="00960F2F">
      <w:pPr>
        <w:jc w:val="center"/>
        <w:rPr>
          <w:rFonts w:ascii="Calibri" w:eastAsia="Calibri" w:hAnsi="Calibri" w:cs="Calibri"/>
          <w:b/>
          <w:bCs/>
          <w:i/>
          <w:iCs/>
          <w:sz w:val="22"/>
          <w:szCs w:val="22"/>
        </w:rPr>
      </w:pPr>
    </w:p>
    <w:tbl>
      <w:tblPr>
        <w:tblStyle w:val="TableGrid5"/>
        <w:tblW w:w="0" w:type="auto"/>
        <w:tblInd w:w="0" w:type="dxa"/>
        <w:tblLook w:val="04A0" w:firstRow="1" w:lastRow="0" w:firstColumn="1" w:lastColumn="0" w:noHBand="0" w:noVBand="1"/>
      </w:tblPr>
      <w:tblGrid>
        <w:gridCol w:w="1710"/>
        <w:gridCol w:w="5028"/>
        <w:gridCol w:w="2612"/>
      </w:tblGrid>
      <w:tr w:rsidR="00960F2F" w14:paraId="05089D71" w14:textId="77777777" w:rsidTr="00960F2F">
        <w:trPr>
          <w:tblHeader/>
        </w:trPr>
        <w:tc>
          <w:tcPr>
            <w:tcW w:w="1710" w:type="dxa"/>
            <w:tcBorders>
              <w:top w:val="single" w:sz="4" w:space="0" w:color="auto"/>
              <w:left w:val="single" w:sz="4" w:space="0" w:color="auto"/>
              <w:bottom w:val="single" w:sz="4" w:space="0" w:color="auto"/>
              <w:right w:val="single" w:sz="4" w:space="0" w:color="auto"/>
            </w:tcBorders>
            <w:shd w:val="clear" w:color="auto" w:fill="4B6A88"/>
            <w:hideMark/>
          </w:tcPr>
          <w:p w14:paraId="03123218" w14:textId="77777777" w:rsidR="00960F2F" w:rsidRDefault="00960F2F">
            <w:pPr>
              <w:jc w:val="center"/>
              <w:rPr>
                <w:rFonts w:ascii="Calibri" w:hAnsi="Calibri" w:cs="Calibri"/>
                <w:b/>
                <w:bCs/>
                <w:color w:val="FFFFFF"/>
                <w:sz w:val="22"/>
                <w:szCs w:val="22"/>
              </w:rPr>
            </w:pPr>
            <w:r>
              <w:rPr>
                <w:rFonts w:ascii="Calibri" w:hAnsi="Calibri" w:cs="Calibri"/>
                <w:b/>
                <w:bCs/>
                <w:color w:val="FFFFFF"/>
              </w:rPr>
              <w:t>Reference #</w:t>
            </w:r>
          </w:p>
        </w:tc>
        <w:tc>
          <w:tcPr>
            <w:tcW w:w="5028" w:type="dxa"/>
            <w:tcBorders>
              <w:top w:val="single" w:sz="4" w:space="0" w:color="auto"/>
              <w:left w:val="single" w:sz="4" w:space="0" w:color="auto"/>
              <w:bottom w:val="single" w:sz="4" w:space="0" w:color="auto"/>
              <w:right w:val="single" w:sz="4" w:space="0" w:color="auto"/>
            </w:tcBorders>
            <w:shd w:val="clear" w:color="auto" w:fill="4B6A88"/>
            <w:hideMark/>
          </w:tcPr>
          <w:p w14:paraId="6C187E36" w14:textId="77777777" w:rsidR="00960F2F" w:rsidRDefault="00960F2F">
            <w:pPr>
              <w:jc w:val="center"/>
              <w:rPr>
                <w:rFonts w:ascii="Calibri" w:hAnsi="Calibri" w:cs="Calibri"/>
                <w:b/>
                <w:bCs/>
                <w:color w:val="FFFFFF"/>
              </w:rPr>
            </w:pPr>
            <w:r>
              <w:rPr>
                <w:rFonts w:ascii="Calibri" w:hAnsi="Calibri" w:cs="Calibri"/>
                <w:b/>
                <w:bCs/>
                <w:color w:val="FFFFFF"/>
              </w:rPr>
              <w:t>Outcome</w:t>
            </w:r>
          </w:p>
        </w:tc>
        <w:tc>
          <w:tcPr>
            <w:tcW w:w="2612" w:type="dxa"/>
            <w:tcBorders>
              <w:top w:val="single" w:sz="4" w:space="0" w:color="auto"/>
              <w:left w:val="single" w:sz="4" w:space="0" w:color="auto"/>
              <w:bottom w:val="single" w:sz="4" w:space="0" w:color="auto"/>
              <w:right w:val="single" w:sz="4" w:space="0" w:color="auto"/>
            </w:tcBorders>
            <w:shd w:val="clear" w:color="auto" w:fill="4B6A88"/>
            <w:hideMark/>
          </w:tcPr>
          <w:p w14:paraId="02AEC001" w14:textId="77777777" w:rsidR="00960F2F" w:rsidRDefault="00960F2F">
            <w:pPr>
              <w:jc w:val="center"/>
              <w:rPr>
                <w:rFonts w:ascii="Calibri" w:hAnsi="Calibri" w:cs="Calibri"/>
                <w:b/>
                <w:bCs/>
                <w:color w:val="FFFFFF"/>
              </w:rPr>
            </w:pPr>
            <w:r>
              <w:rPr>
                <w:rFonts w:ascii="Calibri" w:hAnsi="Calibri" w:cs="Calibri"/>
                <w:b/>
                <w:bCs/>
                <w:color w:val="FFFFFF"/>
              </w:rPr>
              <w:t>Source(s)</w:t>
            </w:r>
          </w:p>
        </w:tc>
      </w:tr>
      <w:tr w:rsidR="00960F2F" w14:paraId="6F6EE52E" w14:textId="77777777" w:rsidTr="00960F2F">
        <w:tc>
          <w:tcPr>
            <w:tcW w:w="1710" w:type="dxa"/>
            <w:tcBorders>
              <w:top w:val="single" w:sz="4" w:space="0" w:color="auto"/>
              <w:left w:val="single" w:sz="4" w:space="0" w:color="auto"/>
              <w:bottom w:val="single" w:sz="4" w:space="0" w:color="auto"/>
              <w:right w:val="single" w:sz="4" w:space="0" w:color="auto"/>
            </w:tcBorders>
            <w:hideMark/>
          </w:tcPr>
          <w:p w14:paraId="368C9893" w14:textId="77777777" w:rsidR="00960F2F" w:rsidRDefault="00960F2F">
            <w:pPr>
              <w:jc w:val="center"/>
              <w:rPr>
                <w:rFonts w:ascii="Calibri" w:hAnsi="Calibri" w:cs="Calibri"/>
                <w:b/>
                <w:bCs/>
              </w:rPr>
            </w:pPr>
            <w:r>
              <w:rPr>
                <w:rFonts w:ascii="Calibri" w:hAnsi="Calibri" w:cs="Calibri"/>
                <w:b/>
                <w:bCs/>
              </w:rPr>
              <w:t>EPS1</w:t>
            </w:r>
          </w:p>
        </w:tc>
        <w:tc>
          <w:tcPr>
            <w:tcW w:w="5028" w:type="dxa"/>
            <w:tcBorders>
              <w:top w:val="single" w:sz="4" w:space="0" w:color="auto"/>
              <w:left w:val="single" w:sz="4" w:space="0" w:color="auto"/>
              <w:bottom w:val="single" w:sz="4" w:space="0" w:color="auto"/>
              <w:right w:val="single" w:sz="4" w:space="0" w:color="auto"/>
            </w:tcBorders>
            <w:hideMark/>
          </w:tcPr>
          <w:p w14:paraId="4AC6036D" w14:textId="77777777" w:rsidR="00960F2F" w:rsidRDefault="00960F2F">
            <w:pPr>
              <w:rPr>
                <w:rFonts w:ascii="Calibri" w:hAnsi="Calibri" w:cs="Calibri"/>
              </w:rPr>
            </w:pPr>
            <w:r>
              <w:rPr>
                <w:rFonts w:ascii="Calibri" w:hAnsi="Calibri" w:cs="Calibri"/>
              </w:rPr>
              <w:t>The system ingests encounter data (submissions and re-submissions) from MCOs and sends quality transaction feedback back to the plans to ensure appropriate industry standard format. (Quality transaction checks include, but are not limited to completeness, missing information, formatting, and the TR3 implementation guide business rules validations).</w:t>
            </w:r>
          </w:p>
        </w:tc>
        <w:tc>
          <w:tcPr>
            <w:tcW w:w="2612" w:type="dxa"/>
            <w:tcBorders>
              <w:top w:val="single" w:sz="4" w:space="0" w:color="auto"/>
              <w:left w:val="single" w:sz="4" w:space="0" w:color="auto"/>
              <w:bottom w:val="single" w:sz="4" w:space="0" w:color="auto"/>
              <w:right w:val="single" w:sz="4" w:space="0" w:color="auto"/>
            </w:tcBorders>
            <w:hideMark/>
          </w:tcPr>
          <w:p w14:paraId="297E5AD2" w14:textId="77777777" w:rsidR="00960F2F" w:rsidRDefault="00960F2F">
            <w:pPr>
              <w:rPr>
                <w:rFonts w:ascii="Calibri" w:hAnsi="Calibri" w:cs="Calibri"/>
              </w:rPr>
            </w:pPr>
            <w:r>
              <w:rPr>
                <w:rFonts w:ascii="Calibri" w:hAnsi="Calibri" w:cs="Calibri"/>
              </w:rPr>
              <w:t>42 CFR 438.242</w:t>
            </w:r>
          </w:p>
        </w:tc>
      </w:tr>
      <w:tr w:rsidR="00960F2F" w14:paraId="2E0AEB23" w14:textId="77777777" w:rsidTr="00960F2F">
        <w:tc>
          <w:tcPr>
            <w:tcW w:w="1710" w:type="dxa"/>
            <w:tcBorders>
              <w:top w:val="single" w:sz="4" w:space="0" w:color="auto"/>
              <w:left w:val="single" w:sz="4" w:space="0" w:color="auto"/>
              <w:bottom w:val="single" w:sz="4" w:space="0" w:color="auto"/>
              <w:right w:val="single" w:sz="4" w:space="0" w:color="auto"/>
            </w:tcBorders>
            <w:hideMark/>
          </w:tcPr>
          <w:p w14:paraId="0C5B0D13" w14:textId="77777777" w:rsidR="00960F2F" w:rsidRDefault="00960F2F">
            <w:pPr>
              <w:jc w:val="center"/>
              <w:rPr>
                <w:rFonts w:ascii="Calibri" w:hAnsi="Calibri" w:cs="Calibri"/>
                <w:b/>
                <w:bCs/>
              </w:rPr>
            </w:pPr>
            <w:r>
              <w:rPr>
                <w:rFonts w:ascii="Calibri" w:hAnsi="Calibri" w:cs="Calibri"/>
                <w:b/>
                <w:bCs/>
              </w:rPr>
              <w:t>EPS2</w:t>
            </w:r>
          </w:p>
        </w:tc>
        <w:tc>
          <w:tcPr>
            <w:tcW w:w="5028" w:type="dxa"/>
            <w:tcBorders>
              <w:top w:val="single" w:sz="4" w:space="0" w:color="auto"/>
              <w:left w:val="single" w:sz="4" w:space="0" w:color="auto"/>
              <w:bottom w:val="single" w:sz="4" w:space="0" w:color="auto"/>
              <w:right w:val="single" w:sz="4" w:space="0" w:color="auto"/>
            </w:tcBorders>
            <w:hideMark/>
          </w:tcPr>
          <w:p w14:paraId="1C115304" w14:textId="77777777" w:rsidR="00960F2F" w:rsidRDefault="00960F2F">
            <w:pPr>
              <w:rPr>
                <w:rFonts w:ascii="Calibri" w:hAnsi="Calibri" w:cs="Calibri"/>
              </w:rPr>
            </w:pPr>
            <w:r>
              <w:rPr>
                <w:rFonts w:ascii="Calibri" w:hAnsi="Calibri" w:cs="Calibri"/>
              </w:rPr>
              <w:t>The system ingests encounter data (submissions and re-submissions) from managed care entities in compliance with HIPAA security and privacy standards and performing quality checks for completeness and accuracy before submitting to CMS using standardized formatting, such as ASC X12N 837, NCPDP and the ASC X12N 835, as appropriate. (Quality checks include, but are not limited to completeness, character types, missing information, formatting, duplicates, and business rules validations, such as payment to dis-enrolled providers, etc.).</w:t>
            </w:r>
          </w:p>
        </w:tc>
        <w:tc>
          <w:tcPr>
            <w:tcW w:w="2612" w:type="dxa"/>
            <w:tcBorders>
              <w:top w:val="single" w:sz="4" w:space="0" w:color="auto"/>
              <w:left w:val="single" w:sz="4" w:space="0" w:color="auto"/>
              <w:bottom w:val="single" w:sz="4" w:space="0" w:color="auto"/>
              <w:right w:val="single" w:sz="4" w:space="0" w:color="auto"/>
            </w:tcBorders>
            <w:hideMark/>
          </w:tcPr>
          <w:p w14:paraId="5FAA945F" w14:textId="77777777" w:rsidR="00960F2F" w:rsidRDefault="00960F2F">
            <w:pPr>
              <w:rPr>
                <w:rFonts w:ascii="Calibri" w:hAnsi="Calibri" w:cs="Calibri"/>
              </w:rPr>
            </w:pPr>
            <w:r>
              <w:rPr>
                <w:rFonts w:ascii="Calibri" w:hAnsi="Calibri" w:cs="Calibri"/>
              </w:rPr>
              <w:t xml:space="preserve">42 CFR 438.604, 438.818, and 438.242 </w:t>
            </w:r>
          </w:p>
        </w:tc>
      </w:tr>
      <w:tr w:rsidR="00960F2F" w14:paraId="4A0A1AB3" w14:textId="77777777" w:rsidTr="00960F2F">
        <w:tc>
          <w:tcPr>
            <w:tcW w:w="1710" w:type="dxa"/>
            <w:tcBorders>
              <w:top w:val="single" w:sz="4" w:space="0" w:color="auto"/>
              <w:left w:val="single" w:sz="4" w:space="0" w:color="auto"/>
              <w:bottom w:val="single" w:sz="4" w:space="0" w:color="auto"/>
              <w:right w:val="single" w:sz="4" w:space="0" w:color="auto"/>
            </w:tcBorders>
            <w:hideMark/>
          </w:tcPr>
          <w:p w14:paraId="73EB6365" w14:textId="77777777" w:rsidR="00960F2F" w:rsidRDefault="00960F2F">
            <w:pPr>
              <w:jc w:val="center"/>
              <w:rPr>
                <w:rFonts w:ascii="Calibri" w:hAnsi="Calibri" w:cs="Calibri"/>
                <w:b/>
                <w:bCs/>
              </w:rPr>
            </w:pPr>
            <w:r>
              <w:rPr>
                <w:rFonts w:ascii="Calibri" w:hAnsi="Calibri" w:cs="Calibri"/>
                <w:b/>
                <w:bCs/>
              </w:rPr>
              <w:t>EPS3</w:t>
            </w:r>
          </w:p>
        </w:tc>
        <w:tc>
          <w:tcPr>
            <w:tcW w:w="5028" w:type="dxa"/>
            <w:tcBorders>
              <w:top w:val="single" w:sz="4" w:space="0" w:color="auto"/>
              <w:left w:val="single" w:sz="4" w:space="0" w:color="auto"/>
              <w:bottom w:val="single" w:sz="4" w:space="0" w:color="auto"/>
              <w:right w:val="single" w:sz="4" w:space="0" w:color="auto"/>
            </w:tcBorders>
            <w:hideMark/>
          </w:tcPr>
          <w:p w14:paraId="2851170C" w14:textId="77777777" w:rsidR="00960F2F" w:rsidRDefault="00960F2F">
            <w:pPr>
              <w:rPr>
                <w:rFonts w:ascii="Calibri" w:eastAsia="Times New Roman" w:hAnsi="Calibri" w:cs="Calibri"/>
              </w:rPr>
            </w:pPr>
            <w:r>
              <w:rPr>
                <w:rFonts w:ascii="Calibri" w:hAnsi="Calibri" w:cs="Calibri"/>
              </w:rPr>
              <w:t>The state includes submission requirements (timeliness, re-submissions, etc.), definitions, data specifications and standards, and consequences for non-compliance in its managed care contracts. The state enforces consequences for non-compliance. </w:t>
            </w:r>
          </w:p>
        </w:tc>
        <w:tc>
          <w:tcPr>
            <w:tcW w:w="2612" w:type="dxa"/>
            <w:tcBorders>
              <w:top w:val="single" w:sz="4" w:space="0" w:color="auto"/>
              <w:left w:val="single" w:sz="4" w:space="0" w:color="auto"/>
              <w:bottom w:val="single" w:sz="4" w:space="0" w:color="auto"/>
              <w:right w:val="single" w:sz="4" w:space="0" w:color="auto"/>
            </w:tcBorders>
            <w:hideMark/>
          </w:tcPr>
          <w:p w14:paraId="49EDFCDA" w14:textId="77777777" w:rsidR="00960F2F" w:rsidRDefault="00960F2F">
            <w:pPr>
              <w:rPr>
                <w:rFonts w:ascii="Calibri" w:hAnsi="Calibri" w:cs="Calibri"/>
              </w:rPr>
            </w:pPr>
            <w:r>
              <w:rPr>
                <w:rFonts w:ascii="Calibri" w:hAnsi="Calibri" w:cs="Calibri"/>
              </w:rPr>
              <w:t>42 CFR Part 438.3</w:t>
            </w:r>
          </w:p>
        </w:tc>
      </w:tr>
      <w:tr w:rsidR="00960F2F" w14:paraId="7413681B" w14:textId="77777777" w:rsidTr="00960F2F">
        <w:tc>
          <w:tcPr>
            <w:tcW w:w="1710" w:type="dxa"/>
            <w:tcBorders>
              <w:top w:val="single" w:sz="4" w:space="0" w:color="auto"/>
              <w:left w:val="single" w:sz="4" w:space="0" w:color="auto"/>
              <w:bottom w:val="single" w:sz="4" w:space="0" w:color="auto"/>
              <w:right w:val="single" w:sz="4" w:space="0" w:color="auto"/>
            </w:tcBorders>
            <w:hideMark/>
          </w:tcPr>
          <w:p w14:paraId="00AF2743" w14:textId="77777777" w:rsidR="00960F2F" w:rsidRDefault="00960F2F">
            <w:pPr>
              <w:jc w:val="center"/>
              <w:rPr>
                <w:rFonts w:ascii="Calibri" w:hAnsi="Calibri" w:cs="Calibri"/>
                <w:b/>
                <w:bCs/>
              </w:rPr>
            </w:pPr>
            <w:r>
              <w:rPr>
                <w:rFonts w:ascii="Calibri" w:hAnsi="Calibri" w:cs="Calibri"/>
                <w:b/>
                <w:bCs/>
                <w:color w:val="000000"/>
              </w:rPr>
              <w:t>EPS4</w:t>
            </w:r>
          </w:p>
        </w:tc>
        <w:tc>
          <w:tcPr>
            <w:tcW w:w="5028" w:type="dxa"/>
            <w:tcBorders>
              <w:top w:val="single" w:sz="4" w:space="0" w:color="auto"/>
              <w:left w:val="single" w:sz="4" w:space="0" w:color="auto"/>
              <w:bottom w:val="single" w:sz="4" w:space="0" w:color="auto"/>
              <w:right w:val="single" w:sz="4" w:space="0" w:color="auto"/>
            </w:tcBorders>
            <w:hideMark/>
          </w:tcPr>
          <w:p w14:paraId="5A81EDD6" w14:textId="77777777" w:rsidR="00960F2F" w:rsidRDefault="00960F2F">
            <w:pPr>
              <w:rPr>
                <w:rFonts w:ascii="Calibri" w:hAnsi="Calibri" w:cs="Calibri"/>
              </w:rPr>
            </w:pPr>
            <w:r>
              <w:rPr>
                <w:rFonts w:ascii="Calibri" w:hAnsi="Calibri" w:cs="Calibri"/>
              </w:rPr>
              <w:t>The state uses encounter data to calculate capitation rates and performs payment comparisons with FFS claims data.</w:t>
            </w:r>
          </w:p>
        </w:tc>
        <w:tc>
          <w:tcPr>
            <w:tcW w:w="2612" w:type="dxa"/>
            <w:tcBorders>
              <w:top w:val="single" w:sz="4" w:space="0" w:color="auto"/>
              <w:left w:val="single" w:sz="4" w:space="0" w:color="auto"/>
              <w:bottom w:val="single" w:sz="4" w:space="0" w:color="auto"/>
              <w:right w:val="single" w:sz="4" w:space="0" w:color="auto"/>
            </w:tcBorders>
            <w:hideMark/>
          </w:tcPr>
          <w:p w14:paraId="458E02EF" w14:textId="77777777" w:rsidR="00960F2F" w:rsidRDefault="00960F2F">
            <w:pPr>
              <w:rPr>
                <w:rFonts w:ascii="Calibri" w:hAnsi="Calibri" w:cs="Calibri"/>
              </w:rPr>
            </w:pPr>
            <w:r>
              <w:rPr>
                <w:rFonts w:ascii="Calibri" w:hAnsi="Calibri" w:cs="Calibri"/>
              </w:rPr>
              <w:t>42 CFR Part 438</w:t>
            </w:r>
          </w:p>
        </w:tc>
      </w:tr>
      <w:tr w:rsidR="00960F2F" w14:paraId="40F7CE0A" w14:textId="77777777" w:rsidTr="00960F2F">
        <w:tc>
          <w:tcPr>
            <w:tcW w:w="1710" w:type="dxa"/>
            <w:tcBorders>
              <w:top w:val="single" w:sz="4" w:space="0" w:color="auto"/>
              <w:left w:val="single" w:sz="4" w:space="0" w:color="auto"/>
              <w:bottom w:val="single" w:sz="4" w:space="0" w:color="auto"/>
              <w:right w:val="single" w:sz="4" w:space="0" w:color="auto"/>
            </w:tcBorders>
            <w:hideMark/>
          </w:tcPr>
          <w:p w14:paraId="278DD97C" w14:textId="77777777" w:rsidR="00960F2F" w:rsidRDefault="00960F2F">
            <w:pPr>
              <w:jc w:val="center"/>
              <w:rPr>
                <w:rFonts w:ascii="Calibri" w:hAnsi="Calibri" w:cs="Calibri"/>
                <w:b/>
                <w:bCs/>
              </w:rPr>
            </w:pPr>
            <w:r>
              <w:rPr>
                <w:rFonts w:ascii="Calibri" w:hAnsi="Calibri" w:cs="Calibri"/>
                <w:b/>
                <w:bCs/>
                <w:color w:val="000000"/>
              </w:rPr>
              <w:t>EPS5</w:t>
            </w:r>
          </w:p>
        </w:tc>
        <w:tc>
          <w:tcPr>
            <w:tcW w:w="5028" w:type="dxa"/>
            <w:tcBorders>
              <w:top w:val="single" w:sz="4" w:space="0" w:color="auto"/>
              <w:left w:val="single" w:sz="4" w:space="0" w:color="auto"/>
              <w:bottom w:val="single" w:sz="4" w:space="0" w:color="auto"/>
              <w:right w:val="single" w:sz="4" w:space="0" w:color="auto"/>
            </w:tcBorders>
            <w:hideMark/>
          </w:tcPr>
          <w:p w14:paraId="07DD1F53" w14:textId="77777777" w:rsidR="00960F2F" w:rsidRDefault="00960F2F">
            <w:pPr>
              <w:rPr>
                <w:rFonts w:ascii="Calibri" w:hAnsi="Calibri" w:cs="Calibri"/>
                <w:color w:val="000000"/>
              </w:rPr>
            </w:pPr>
            <w:r>
              <w:rPr>
                <w:rFonts w:ascii="Calibri" w:hAnsi="Calibri" w:cs="Calibri"/>
              </w:rPr>
              <w:t xml:space="preserve">The state complies with federal reporting requirements. </w:t>
            </w:r>
            <w:r>
              <w:rPr>
                <w:rFonts w:ascii="Calibri" w:hAnsi="Calibri" w:cs="Calibri"/>
                <w:color w:val="000000"/>
              </w:rPr>
              <w:t>These include but are not necessarily limited to:</w:t>
            </w:r>
          </w:p>
          <w:p w14:paraId="49076C3F" w14:textId="77777777" w:rsidR="00960F2F" w:rsidRDefault="00960F2F" w:rsidP="00960F2F">
            <w:pPr>
              <w:numPr>
                <w:ilvl w:val="0"/>
                <w:numId w:val="3"/>
              </w:numPr>
              <w:rPr>
                <w:rFonts w:ascii="Calibri" w:hAnsi="Calibri" w:cs="Calibri"/>
              </w:rPr>
            </w:pPr>
            <w:r>
              <w:rPr>
                <w:rFonts w:ascii="Calibri" w:hAnsi="Calibri" w:cs="Calibri"/>
              </w:rPr>
              <w:t>T-MSIS (Transformed Medicaid Statistical Information System)</w:t>
            </w:r>
          </w:p>
          <w:p w14:paraId="3CD09676" w14:textId="77777777" w:rsidR="00960F2F" w:rsidRDefault="00960F2F" w:rsidP="00960F2F">
            <w:pPr>
              <w:numPr>
                <w:ilvl w:val="0"/>
                <w:numId w:val="3"/>
              </w:numPr>
              <w:rPr>
                <w:rFonts w:ascii="Calibri" w:hAnsi="Calibri" w:cs="Calibri"/>
              </w:rPr>
            </w:pPr>
            <w:r>
              <w:rPr>
                <w:rFonts w:ascii="Calibri" w:hAnsi="Calibri" w:cs="Calibri"/>
              </w:rPr>
              <w:t>CMS 416 (EPSDT)</w:t>
            </w:r>
          </w:p>
          <w:p w14:paraId="29290416" w14:textId="77777777" w:rsidR="00960F2F" w:rsidRDefault="00960F2F" w:rsidP="00960F2F">
            <w:pPr>
              <w:numPr>
                <w:ilvl w:val="0"/>
                <w:numId w:val="3"/>
              </w:numPr>
              <w:rPr>
                <w:rFonts w:ascii="Calibri" w:hAnsi="Calibri" w:cs="Calibri"/>
              </w:rPr>
            </w:pPr>
            <w:r>
              <w:rPr>
                <w:rFonts w:ascii="Calibri" w:hAnsi="Calibri" w:cs="Calibri"/>
              </w:rPr>
              <w:t>CHIPRA core set quality measures - Medi-Medi, 1115 evaluation, and</w:t>
            </w:r>
          </w:p>
          <w:p w14:paraId="258E83F4" w14:textId="77777777" w:rsidR="00960F2F" w:rsidRDefault="00960F2F" w:rsidP="00960F2F">
            <w:pPr>
              <w:numPr>
                <w:ilvl w:val="0"/>
                <w:numId w:val="3"/>
              </w:numPr>
              <w:rPr>
                <w:rFonts w:ascii="Calibri" w:hAnsi="Calibri" w:cs="Calibri"/>
              </w:rPr>
            </w:pPr>
            <w:r>
              <w:rPr>
                <w:rFonts w:ascii="Calibri" w:hAnsi="Calibri" w:cs="Calibri"/>
              </w:rPr>
              <w:t>CMMI demonstration evaluation reports.</w:t>
            </w:r>
          </w:p>
        </w:tc>
        <w:tc>
          <w:tcPr>
            <w:tcW w:w="2612" w:type="dxa"/>
            <w:tcBorders>
              <w:top w:val="single" w:sz="4" w:space="0" w:color="auto"/>
              <w:left w:val="single" w:sz="4" w:space="0" w:color="auto"/>
              <w:bottom w:val="single" w:sz="4" w:space="0" w:color="auto"/>
              <w:right w:val="single" w:sz="4" w:space="0" w:color="auto"/>
            </w:tcBorders>
            <w:hideMark/>
          </w:tcPr>
          <w:p w14:paraId="6768F7D0" w14:textId="77777777" w:rsidR="00960F2F" w:rsidRDefault="00960F2F">
            <w:pPr>
              <w:rPr>
                <w:rFonts w:ascii="Calibri" w:hAnsi="Calibri" w:cs="Calibri"/>
              </w:rPr>
            </w:pPr>
            <w:r>
              <w:rPr>
                <w:rFonts w:ascii="Calibri" w:hAnsi="Calibri" w:cs="Calibri"/>
              </w:rPr>
              <w:t>42 CFR 438.818, 438.242</w:t>
            </w:r>
          </w:p>
        </w:tc>
      </w:tr>
    </w:tbl>
    <w:p w14:paraId="7DA8298D" w14:textId="77777777" w:rsidR="00960F2F" w:rsidRDefault="00960F2F" w:rsidP="00960F2F">
      <w:pPr>
        <w:rPr>
          <w:rFonts w:ascii="Calibri" w:eastAsia="Times New Roman" w:hAnsi="Calibri" w:cs="Calibri"/>
          <w:b/>
          <w:bCs/>
          <w:sz w:val="22"/>
          <w:szCs w:val="22"/>
        </w:rPr>
      </w:pPr>
    </w:p>
    <w:p w14:paraId="374EF0D9" w14:textId="77777777" w:rsidR="00960F2F" w:rsidRDefault="00960F2F" w:rsidP="00960F2F">
      <w:pPr>
        <w:rPr>
          <w:rFonts w:ascii="Calibri" w:eastAsia="Times New Roman" w:hAnsi="Calibri" w:cs="Calibri"/>
          <w:b/>
          <w:bCs/>
          <w:sz w:val="22"/>
          <w:szCs w:val="22"/>
        </w:rPr>
      </w:pPr>
      <w:r>
        <w:rPr>
          <w:rFonts w:ascii="Calibri" w:eastAsia="Times New Roman" w:hAnsi="Calibri" w:cs="Calibri"/>
          <w:b/>
          <w:bCs/>
          <w:sz w:val="22"/>
          <w:szCs w:val="22"/>
        </w:rPr>
        <w:br w:type="page"/>
      </w:r>
    </w:p>
    <w:p w14:paraId="698B2CE4" w14:textId="77777777" w:rsidR="00960F2F" w:rsidRDefault="00960F2F" w:rsidP="00960F2F">
      <w:pPr>
        <w:rPr>
          <w:rFonts w:ascii="Calibri" w:eastAsia="Calibri" w:hAnsi="Calibri" w:cs="Calibri"/>
          <w:sz w:val="22"/>
          <w:szCs w:val="22"/>
        </w:rPr>
      </w:pPr>
    </w:p>
    <w:p w14:paraId="780442DB" w14:textId="77777777" w:rsidR="00960F2F" w:rsidRDefault="00960F2F"/>
    <w:sectPr w:rsidR="00960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3364E"/>
    <w:multiLevelType w:val="hybridMultilevel"/>
    <w:tmpl w:val="3D541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F46DD8"/>
    <w:multiLevelType w:val="hybridMultilevel"/>
    <w:tmpl w:val="8C228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0E445E4"/>
    <w:multiLevelType w:val="hybridMultilevel"/>
    <w:tmpl w:val="DD1032F0"/>
    <w:lvl w:ilvl="0" w:tplc="83DC05DE">
      <w:start w:val="1"/>
      <w:numFmt w:val="bullet"/>
      <w:lvlText w:val=""/>
      <w:lvlJc w:val="left"/>
      <w:pPr>
        <w:ind w:left="720" w:hanging="360"/>
      </w:pPr>
      <w:rPr>
        <w:rFonts w:ascii="Symbol" w:hAnsi="Symbol" w:hint="default"/>
      </w:rPr>
    </w:lvl>
    <w:lvl w:ilvl="1" w:tplc="79D8BE7C">
      <w:start w:val="1"/>
      <w:numFmt w:val="bullet"/>
      <w:lvlText w:val="o"/>
      <w:lvlJc w:val="left"/>
      <w:pPr>
        <w:ind w:left="1440" w:hanging="360"/>
      </w:pPr>
      <w:rPr>
        <w:rFonts w:ascii="Courier New" w:hAnsi="Courier New" w:cs="Times New Roman" w:hint="default"/>
      </w:rPr>
    </w:lvl>
    <w:lvl w:ilvl="2" w:tplc="21B69400">
      <w:start w:val="1"/>
      <w:numFmt w:val="bullet"/>
      <w:lvlText w:val=""/>
      <w:lvlJc w:val="left"/>
      <w:pPr>
        <w:ind w:left="2160" w:hanging="360"/>
      </w:pPr>
      <w:rPr>
        <w:rFonts w:ascii="Wingdings" w:hAnsi="Wingdings" w:hint="default"/>
      </w:rPr>
    </w:lvl>
    <w:lvl w:ilvl="3" w:tplc="40CE931A">
      <w:start w:val="1"/>
      <w:numFmt w:val="bullet"/>
      <w:lvlText w:val=""/>
      <w:lvlJc w:val="left"/>
      <w:pPr>
        <w:ind w:left="2880" w:hanging="360"/>
      </w:pPr>
      <w:rPr>
        <w:rFonts w:ascii="Symbol" w:hAnsi="Symbol" w:hint="default"/>
      </w:rPr>
    </w:lvl>
    <w:lvl w:ilvl="4" w:tplc="D5885880">
      <w:start w:val="1"/>
      <w:numFmt w:val="bullet"/>
      <w:lvlText w:val="o"/>
      <w:lvlJc w:val="left"/>
      <w:pPr>
        <w:ind w:left="3600" w:hanging="360"/>
      </w:pPr>
      <w:rPr>
        <w:rFonts w:ascii="Courier New" w:hAnsi="Courier New" w:cs="Times New Roman" w:hint="default"/>
      </w:rPr>
    </w:lvl>
    <w:lvl w:ilvl="5" w:tplc="9A7283E6">
      <w:start w:val="1"/>
      <w:numFmt w:val="bullet"/>
      <w:lvlText w:val=""/>
      <w:lvlJc w:val="left"/>
      <w:pPr>
        <w:ind w:left="4320" w:hanging="360"/>
      </w:pPr>
      <w:rPr>
        <w:rFonts w:ascii="Wingdings" w:hAnsi="Wingdings" w:hint="default"/>
      </w:rPr>
    </w:lvl>
    <w:lvl w:ilvl="6" w:tplc="6EE4BA58">
      <w:start w:val="1"/>
      <w:numFmt w:val="bullet"/>
      <w:lvlText w:val=""/>
      <w:lvlJc w:val="left"/>
      <w:pPr>
        <w:ind w:left="5040" w:hanging="360"/>
      </w:pPr>
      <w:rPr>
        <w:rFonts w:ascii="Symbol" w:hAnsi="Symbol" w:hint="default"/>
      </w:rPr>
    </w:lvl>
    <w:lvl w:ilvl="7" w:tplc="3CCA7978">
      <w:start w:val="1"/>
      <w:numFmt w:val="bullet"/>
      <w:lvlText w:val="o"/>
      <w:lvlJc w:val="left"/>
      <w:pPr>
        <w:ind w:left="5760" w:hanging="360"/>
      </w:pPr>
      <w:rPr>
        <w:rFonts w:ascii="Courier New" w:hAnsi="Courier New" w:cs="Times New Roman" w:hint="default"/>
      </w:rPr>
    </w:lvl>
    <w:lvl w:ilvl="8" w:tplc="574C92CC">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2F"/>
    <w:rsid w:val="0031029D"/>
    <w:rsid w:val="00703D51"/>
    <w:rsid w:val="00960F2F"/>
    <w:rsid w:val="00B26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04D3"/>
  <w15:chartTrackingRefBased/>
  <w15:docId w15:val="{9C0B7A16-AA55-40F7-8451-C40E5292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F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F2F"/>
    <w:pPr>
      <w:spacing w:before="100" w:after="200" w:line="276" w:lineRule="auto"/>
      <w:contextualSpacing/>
    </w:pPr>
    <w:rPr>
      <w:rFonts w:eastAsia="Times New Roman"/>
      <w:sz w:val="20"/>
      <w:szCs w:val="20"/>
    </w:rPr>
    <w:tblPr>
      <w:tblInd w:w="0" w:type="nil"/>
    </w:tblPr>
  </w:style>
  <w:style w:type="table" w:customStyle="1" w:styleId="TableGrid2">
    <w:name w:val="Table Grid2"/>
    <w:basedOn w:val="TableNormal"/>
    <w:uiPriority w:val="39"/>
    <w:rsid w:val="00960F2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960F2F"/>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02335">
      <w:bodyDiv w:val="1"/>
      <w:marLeft w:val="0"/>
      <w:marRight w:val="0"/>
      <w:marTop w:val="0"/>
      <w:marBottom w:val="0"/>
      <w:divBdr>
        <w:top w:val="none" w:sz="0" w:space="0" w:color="auto"/>
        <w:left w:val="none" w:sz="0" w:space="0" w:color="auto"/>
        <w:bottom w:val="none" w:sz="0" w:space="0" w:color="auto"/>
        <w:right w:val="none" w:sz="0" w:space="0" w:color="auto"/>
      </w:divBdr>
    </w:div>
    <w:div w:id="817957119">
      <w:bodyDiv w:val="1"/>
      <w:marLeft w:val="0"/>
      <w:marRight w:val="0"/>
      <w:marTop w:val="0"/>
      <w:marBottom w:val="0"/>
      <w:divBdr>
        <w:top w:val="none" w:sz="0" w:space="0" w:color="auto"/>
        <w:left w:val="none" w:sz="0" w:space="0" w:color="auto"/>
        <w:bottom w:val="none" w:sz="0" w:space="0" w:color="auto"/>
        <w:right w:val="none" w:sz="0" w:space="0" w:color="auto"/>
      </w:divBdr>
    </w:div>
    <w:div w:id="21264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F7BC7A1F79E45B8588101739BF555" ma:contentTypeVersion="11" ma:contentTypeDescription="Create a new document." ma:contentTypeScope="" ma:versionID="b05b3520ea77545019e3eeff271b94be">
  <xsd:schema xmlns:xsd="http://www.w3.org/2001/XMLSchema" xmlns:xs="http://www.w3.org/2001/XMLSchema" xmlns:p="http://schemas.microsoft.com/office/2006/metadata/properties" xmlns:ns2="a0976c69-cdba-4cfb-9baf-cc5c7760d342" xmlns:ns3="29fdf6b9-9940-49e9-a5c9-0152aa9d3985" xmlns:ns4="395f7c91-53ff-4102-8bbc-736af5b7963c" targetNamespace="http://schemas.microsoft.com/office/2006/metadata/properties" ma:root="true" ma:fieldsID="d5bf587106267f9b59e8c55a7f596a3a" ns2:_="" ns3:_="" ns4:_="">
    <xsd:import namespace="a0976c69-cdba-4cfb-9baf-cc5c7760d342"/>
    <xsd:import namespace="29fdf6b9-9940-49e9-a5c9-0152aa9d3985"/>
    <xsd:import namespace="395f7c91-53ff-4102-8bbc-736af5b79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EventHashCode" minOccurs="0"/>
                <xsd:element ref="ns2:MediaServiceGenerationTime" minOccurs="0"/>
                <xsd:element ref="ns4:_dlc_DocId" minOccurs="0"/>
                <xsd:element ref="ns4:_dlc_DocIdUrl" minOccurs="0"/>
                <xsd:element ref="ns4:_dlc_DocIdPersistId" minOccurs="0"/>
                <xsd:element ref="ns2:MediaServiceAutoKeyPoints" minOccurs="0"/>
                <xsd:element ref="ns2:MediaServiceKeyPoint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76c69-cdba-4cfb-9baf-cc5c7760d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df6b9-9940-49e9-a5c9-0152aa9d39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5f7c91-53ff-4102-8bbc-736af5b7963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395f7c91-53ff-4102-8bbc-736af5b7963c">5TA2TP5YT2S6-2138860988-20221</_dlc_DocId>
    <_dlc_DocIdUrl xmlns="395f7c91-53ff-4102-8bbc-736af5b7963c">
      <Url>https://flahca.sharepoint.com/sites/mes/AHCA/_layouts/15/DocIdRedir.aspx?ID=5TA2TP5YT2S6-2138860988-20221</Url>
      <Description>5TA2TP5YT2S6-2138860988-20221</Description>
    </_dlc_DocIdUrl>
  </documentManagement>
</p:properties>
</file>

<file path=customXml/itemProps1.xml><?xml version="1.0" encoding="utf-8"?>
<ds:datastoreItem xmlns:ds="http://schemas.openxmlformats.org/officeDocument/2006/customXml" ds:itemID="{2A08AD7A-BBE8-4778-82C8-44EC6BEF1C8A}"/>
</file>

<file path=customXml/itemProps2.xml><?xml version="1.0" encoding="utf-8"?>
<ds:datastoreItem xmlns:ds="http://schemas.openxmlformats.org/officeDocument/2006/customXml" ds:itemID="{2F7DE0AB-4408-4B3A-8B40-C11186EE15FF}"/>
</file>

<file path=customXml/itemProps3.xml><?xml version="1.0" encoding="utf-8"?>
<ds:datastoreItem xmlns:ds="http://schemas.openxmlformats.org/officeDocument/2006/customXml" ds:itemID="{F4CC97DA-DB43-4DF7-9849-6CEFE97AFC08}"/>
</file>

<file path=customXml/itemProps4.xml><?xml version="1.0" encoding="utf-8"?>
<ds:datastoreItem xmlns:ds="http://schemas.openxmlformats.org/officeDocument/2006/customXml" ds:itemID="{6A5BE8EB-E008-4EA5-9EB4-8F617E5285CF}"/>
</file>

<file path=docProps/app.xml><?xml version="1.0" encoding="utf-8"?>
<Properties xmlns="http://schemas.openxmlformats.org/officeDocument/2006/extended-properties" xmlns:vt="http://schemas.openxmlformats.org/officeDocument/2006/docPropsVTypes">
  <Template>Normal</Template>
  <TotalTime>3</TotalTime>
  <Pages>6</Pages>
  <Words>1113</Words>
  <Characters>6345</Characters>
  <Application>Microsoft Office Word</Application>
  <DocSecurity>0</DocSecurity>
  <Lines>52</Lines>
  <Paragraphs>14</Paragraphs>
  <ScaleCrop>false</ScaleCrop>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McCauley, Shawn</dc:creator>
  <cp:keywords/>
  <dc:description/>
  <cp:lastModifiedBy>McCauley, Shawn</cp:lastModifiedBy>
  <cp:revision>1</cp:revision>
  <dcterms:created xsi:type="dcterms:W3CDTF">2021-05-18T18:45:00Z</dcterms:created>
  <dcterms:modified xsi:type="dcterms:W3CDTF">2021-05-18T18:50:00Z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0x0101001AAF7BC7A1F79E45B8588101739BF555</vt:lpwstr>
  </property>
  <property fmtid="{D5CDD505-2E9C-101B-9397-08002B2CF9AE}" pid="3" name="_dlc_DocIdItemGuid">
    <vt:lpwstr>639dc2cf-1eef-44a8-b392-7e4b0d86d710</vt:lpwstr>
  </property>
</Properties>
</file>