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27B48" w14:textId="2C98F5B5" w:rsidR="003859A5" w:rsidRDefault="003859A5" w:rsidP="003859A5">
      <w:pPr>
        <w:pBdr>
          <w:top w:val="single" w:sz="24" w:space="0" w:color="4B6A88"/>
          <w:left w:val="single" w:sz="24" w:space="0" w:color="4B6A88"/>
          <w:bottom w:val="single" w:sz="24" w:space="0" w:color="4B6A88"/>
          <w:right w:val="single" w:sz="24" w:space="0" w:color="4B6A88"/>
        </w:pBdr>
        <w:shd w:val="clear" w:color="auto" w:fill="4B6A88"/>
        <w:outlineLvl w:val="0"/>
        <w:rPr>
          <w:rFonts w:ascii="Calibri" w:eastAsia="Times New Roman" w:hAnsi="Calibri" w:cs="Calibri"/>
          <w:b/>
          <w:bCs/>
          <w:caps/>
          <w:color w:val="FFFFFF"/>
          <w:spacing w:val="15"/>
          <w:sz w:val="22"/>
          <w:szCs w:val="22"/>
        </w:rPr>
      </w:pPr>
      <w:r>
        <w:rPr>
          <w:rFonts w:ascii="Calibri" w:eastAsia="Times New Roman" w:hAnsi="Calibri" w:cs="Calibri"/>
          <w:b/>
          <w:bCs/>
          <w:caps/>
          <w:color w:val="FFFFFF"/>
          <w:spacing w:val="15"/>
          <w:sz w:val="22"/>
          <w:szCs w:val="22"/>
        </w:rPr>
        <w:t xml:space="preserve">Appendix B: CMS-Required Outcomes for </w:t>
      </w:r>
      <w:r>
        <w:rPr>
          <w:rFonts w:ascii="Calibri" w:eastAsia="Times New Roman" w:hAnsi="Calibri" w:cs="Calibri"/>
          <w:b/>
          <w:bCs/>
          <w:caps/>
          <w:color w:val="FFFFFF"/>
          <w:spacing w:val="15"/>
          <w:sz w:val="22"/>
          <w:szCs w:val="22"/>
        </w:rPr>
        <w:t>Specific MES Modules</w:t>
      </w:r>
    </w:p>
    <w:p w14:paraId="5D404715" w14:textId="77777777" w:rsidR="003859A5" w:rsidRDefault="003859A5" w:rsidP="003859A5">
      <w:pPr>
        <w:rPr>
          <w:rFonts w:ascii="Calibri" w:eastAsia="Times New Roman" w:hAnsi="Calibri" w:cs="Calibri"/>
          <w:sz w:val="22"/>
          <w:szCs w:val="22"/>
        </w:rPr>
      </w:pPr>
    </w:p>
    <w:p w14:paraId="05F3C6E0" w14:textId="4CF61C57" w:rsidR="003859A5" w:rsidRDefault="003859A5" w:rsidP="003859A5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The information in the following tables contains the CMS-required outcomes for </w:t>
      </w:r>
      <w:r>
        <w:rPr>
          <w:rFonts w:ascii="Calibri" w:eastAsia="Times New Roman" w:hAnsi="Calibri" w:cs="Calibri"/>
          <w:sz w:val="22"/>
          <w:szCs w:val="22"/>
        </w:rPr>
        <w:t>Provider Management</w:t>
      </w:r>
      <w:r w:rsidR="009F3AD4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MES modules. These outcomes are aligned with regulatory and policy requirements that states must follow when implementing modules or capabilities. These are designed to be used as a starting point for aligning what the state is trying to accomplish with a project in accordance with CMS expectations. The list should be adjusted if any outcomes are deemed not applicable for a state project or if the state proposes other outcomes that are not covered in the applicable table(s) below. </w:t>
      </w:r>
    </w:p>
    <w:p w14:paraId="7E95D50F" w14:textId="77777777" w:rsidR="003859A5" w:rsidRDefault="003859A5" w:rsidP="003859A5">
      <w:pPr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00AFE248" w14:textId="128CC74C" w:rsidR="003859A5" w:rsidRDefault="003859A5" w:rsidP="003859A5">
      <w:pPr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Table B-10: Provider Management Outcomes</w:t>
      </w:r>
    </w:p>
    <w:p w14:paraId="768891EF" w14:textId="77777777" w:rsidR="003859A5" w:rsidRDefault="003859A5" w:rsidP="003859A5">
      <w:pPr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</w:p>
    <w:tbl>
      <w:tblPr>
        <w:tblStyle w:val="TableGrid12"/>
        <w:tblW w:w="0" w:type="auto"/>
        <w:tblInd w:w="0" w:type="dxa"/>
        <w:tblLook w:val="04A0" w:firstRow="1" w:lastRow="0" w:firstColumn="1" w:lastColumn="0" w:noHBand="0" w:noVBand="1"/>
      </w:tblPr>
      <w:tblGrid>
        <w:gridCol w:w="1894"/>
        <w:gridCol w:w="4908"/>
        <w:gridCol w:w="2548"/>
      </w:tblGrid>
      <w:tr w:rsidR="003859A5" w14:paraId="2EB8EAF2" w14:textId="77777777" w:rsidTr="003859A5">
        <w:trPr>
          <w:tblHeader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6A88"/>
            <w:hideMark/>
          </w:tcPr>
          <w:p w14:paraId="70537D5A" w14:textId="77777777" w:rsidR="003859A5" w:rsidRDefault="003859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Reference #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6A88"/>
            <w:hideMark/>
          </w:tcPr>
          <w:p w14:paraId="4DFCD0EB" w14:textId="77777777" w:rsidR="003859A5" w:rsidRDefault="003859A5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Outcome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6A88"/>
            <w:hideMark/>
          </w:tcPr>
          <w:p w14:paraId="76E79E82" w14:textId="77777777" w:rsidR="003859A5" w:rsidRDefault="003859A5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Source(s)</w:t>
            </w:r>
          </w:p>
        </w:tc>
      </w:tr>
      <w:tr w:rsidR="003859A5" w14:paraId="2D1B13C6" w14:textId="77777777" w:rsidTr="003859A5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1A5D" w14:textId="77777777" w:rsidR="003859A5" w:rsidRDefault="003859A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PM1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b/>
                <w:bCs/>
              </w:rPr>
              <w:t>Application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0A1A" w14:textId="77777777" w:rsidR="003859A5" w:rsidRDefault="003859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 provider can initiate, save, and apply to be a Medicaid provider.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3049" w14:textId="77777777" w:rsidR="003859A5" w:rsidRDefault="003859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 CFR 455.410(a)</w:t>
            </w:r>
          </w:p>
        </w:tc>
      </w:tr>
      <w:tr w:rsidR="003859A5" w14:paraId="2BF8CBC7" w14:textId="77777777" w:rsidTr="003859A5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4FB3" w14:textId="77777777" w:rsidR="003859A5" w:rsidRDefault="003859A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PM2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b/>
                <w:bCs/>
              </w:rPr>
              <w:t>Screening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456A" w14:textId="77777777" w:rsidR="003859A5" w:rsidRDefault="003859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 state user can view screening results from other authorized agencies (Medicare, CHIP, other related agencies) to approve provider if applicable.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E6FA" w14:textId="77777777" w:rsidR="003859A5" w:rsidRDefault="003859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 CFR 455.410(c)</w:t>
            </w:r>
            <w:r>
              <w:rPr>
                <w:rFonts w:ascii="Calibri" w:hAnsi="Calibri" w:cs="Calibri"/>
              </w:rPr>
              <w:br/>
            </w:r>
          </w:p>
        </w:tc>
      </w:tr>
      <w:tr w:rsidR="003859A5" w14:paraId="23642BC3" w14:textId="77777777" w:rsidTr="003859A5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6BA9" w14:textId="77777777" w:rsidR="003859A5" w:rsidRDefault="003859A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PM3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b/>
                <w:bCs/>
              </w:rPr>
              <w:t>Screening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E81D" w14:textId="77777777" w:rsidR="003859A5" w:rsidRDefault="003859A5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A state user can verify that any provider purporting to be licensed in a state is licensed by such state and confirm that the provider's license has not expired and that there are no current limitations on the provider's license ensure valid licenses for a provider.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A9CE" w14:textId="77777777" w:rsidR="003859A5" w:rsidRDefault="003859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 CFR 455.412</w:t>
            </w:r>
          </w:p>
        </w:tc>
      </w:tr>
      <w:tr w:rsidR="003859A5" w14:paraId="6F3F4D4E" w14:textId="77777777" w:rsidTr="003859A5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AF35" w14:textId="77777777" w:rsidR="003859A5" w:rsidRDefault="003859A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PM4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b/>
                <w:bCs/>
              </w:rPr>
              <w:t>Revalidation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5627" w14:textId="77777777" w:rsidR="003859A5" w:rsidRDefault="003859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system tracks the provider enrollment period to ensure that the state initiates provider revalidation at least every five years.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DE1A" w14:textId="77777777" w:rsidR="003859A5" w:rsidRDefault="003859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 CFR 455.414</w:t>
            </w:r>
            <w:r>
              <w:rPr>
                <w:rFonts w:ascii="Calibri" w:hAnsi="Calibri" w:cs="Calibri"/>
              </w:rPr>
              <w:br/>
            </w:r>
          </w:p>
        </w:tc>
      </w:tr>
      <w:tr w:rsidR="003859A5" w14:paraId="2DF5FC00" w14:textId="77777777" w:rsidTr="003859A5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9C93" w14:textId="77777777" w:rsidR="003859A5" w:rsidRDefault="003859A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PM5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b/>
                <w:bCs/>
              </w:rPr>
              <w:t>Termination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9B54" w14:textId="77777777" w:rsidR="003859A5" w:rsidRDefault="003859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state user (or the system, based on automated business rules) must terminate or deny a provider's enrollment upon certain conditions (refer to the specific regulatory requirements conditions in 42CFR455.416).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BCE2" w14:textId="77777777" w:rsidR="003859A5" w:rsidRDefault="003859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 CFR 455.416</w:t>
            </w:r>
            <w:r>
              <w:rPr>
                <w:rFonts w:ascii="Calibri" w:hAnsi="Calibri" w:cs="Calibri"/>
              </w:rPr>
              <w:br/>
            </w:r>
          </w:p>
        </w:tc>
      </w:tr>
      <w:tr w:rsidR="003859A5" w14:paraId="71CA5056" w14:textId="77777777" w:rsidTr="003859A5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53EE" w14:textId="77777777" w:rsidR="003859A5" w:rsidRDefault="003859A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PM6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b/>
                <w:bCs/>
              </w:rPr>
              <w:t>Reactivation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B9B1" w14:textId="77777777" w:rsidR="003859A5" w:rsidRDefault="003859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After deactivation, a provider seeking reactivation must be re-screened by the state and submit payment of associated application fees before their enrollment is reactivated.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61D1" w14:textId="77777777" w:rsidR="003859A5" w:rsidRDefault="003859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 CFR 455.420</w:t>
            </w:r>
          </w:p>
        </w:tc>
      </w:tr>
      <w:tr w:rsidR="003859A5" w14:paraId="606B504A" w14:textId="77777777" w:rsidTr="003859A5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E308" w14:textId="77777777" w:rsidR="003859A5" w:rsidRDefault="003859A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PM7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b/>
                <w:bCs/>
              </w:rPr>
              <w:t>Appeal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AA69" w14:textId="77777777" w:rsidR="003859A5" w:rsidRDefault="003859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provider can appeal a termination or denial decision</w:t>
            </w:r>
            <w:r>
              <w:rPr>
                <w:rFonts w:ascii="Calibri" w:hAnsi="Calibri" w:cs="Calibri"/>
                <w:strike/>
              </w:rPr>
              <w:t>,</w:t>
            </w:r>
            <w:r>
              <w:rPr>
                <w:rFonts w:ascii="Calibri" w:hAnsi="Calibri" w:cs="Calibri"/>
              </w:rPr>
              <w:t xml:space="preserve"> and a state user can monitor the appeal process and resolution including nursing homes and ICFs/IID.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4568" w14:textId="77777777" w:rsidR="003859A5" w:rsidRDefault="003859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 CFR 455.422</w:t>
            </w:r>
            <w:r>
              <w:rPr>
                <w:rFonts w:ascii="Calibri" w:hAnsi="Calibri" w:cs="Calibri"/>
              </w:rPr>
              <w:br/>
            </w:r>
          </w:p>
        </w:tc>
      </w:tr>
      <w:tr w:rsidR="003859A5" w14:paraId="30F9A881" w14:textId="77777777" w:rsidTr="003859A5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18DA" w14:textId="77777777" w:rsidR="003859A5" w:rsidRDefault="003859A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PM8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b/>
                <w:bCs/>
              </w:rPr>
              <w:t>Site Visits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213D" w14:textId="77777777" w:rsidR="003859A5" w:rsidRDefault="003859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state user can manage information for mandatory pre-enrollment and post-enrollment site visits conducted on a provider in a moderate or high-risk category.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E3EB" w14:textId="77777777" w:rsidR="003859A5" w:rsidRDefault="003859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 CFR 455.432(a)</w:t>
            </w:r>
            <w:r>
              <w:rPr>
                <w:rFonts w:ascii="Calibri" w:hAnsi="Calibri" w:cs="Calibri"/>
              </w:rPr>
              <w:br/>
            </w:r>
          </w:p>
        </w:tc>
      </w:tr>
      <w:tr w:rsidR="003859A5" w14:paraId="5C64D4D2" w14:textId="77777777" w:rsidTr="003859A5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398C" w14:textId="77777777" w:rsidR="003859A5" w:rsidRDefault="003859A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PM9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b/>
                <w:bCs/>
              </w:rPr>
              <w:t>Background Checks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A426" w14:textId="77777777" w:rsidR="003859A5" w:rsidRDefault="003859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state user can view the status of criminal background check</w:t>
            </w:r>
            <w:r>
              <w:rPr>
                <w:rFonts w:ascii="Calibri" w:hAnsi="Calibri" w:cs="Calibri"/>
                <w:strike/>
              </w:rPr>
              <w:t>s</w:t>
            </w:r>
            <w:r>
              <w:rPr>
                <w:rFonts w:ascii="Calibri" w:hAnsi="Calibri" w:cs="Calibri"/>
              </w:rPr>
              <w:t>, fingerprinting, and site visits for a provider as required based on their risk level and state law.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1C0D" w14:textId="77777777" w:rsidR="003859A5" w:rsidRDefault="003859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 CFR 455.434</w:t>
            </w:r>
            <w:r>
              <w:rPr>
                <w:rFonts w:ascii="Calibri" w:hAnsi="Calibri" w:cs="Calibri"/>
              </w:rPr>
              <w:br/>
            </w:r>
          </w:p>
        </w:tc>
      </w:tr>
      <w:tr w:rsidR="003859A5" w14:paraId="2F13E140" w14:textId="77777777" w:rsidTr="003859A5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5BAD" w14:textId="77777777" w:rsidR="003859A5" w:rsidRDefault="003859A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PM10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b/>
                <w:bCs/>
              </w:rPr>
              <w:t>External Systems Checks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B817" w14:textId="77777777" w:rsidR="003859A5" w:rsidRDefault="003859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system checks appropriate databases to confirm a provider's identity and exclusion status for enrollment and reenrollment and conducts routine checks using federal databases including: </w:t>
            </w:r>
            <w:r>
              <w:rPr>
                <w:rFonts w:ascii="Calibri" w:hAnsi="Calibri" w:cs="Calibri"/>
                <w:color w:val="244062"/>
              </w:rPr>
              <w:t xml:space="preserve">Social </w:t>
            </w:r>
            <w:r>
              <w:rPr>
                <w:rFonts w:ascii="Calibri" w:hAnsi="Calibri" w:cs="Calibri"/>
              </w:rPr>
              <w:t>Security Administration's Death Master File, the National Plan and Provider Enumeration System (NPPES), the List of Excluded Individuals/Entities (LEIE), and the Excluded Parties List System (EPLS). Authorized users can view the results of the data matches as needed.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25B1" w14:textId="77777777" w:rsidR="003859A5" w:rsidRDefault="003859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 CFR 455.436</w:t>
            </w:r>
            <w:r>
              <w:rPr>
                <w:rFonts w:ascii="Calibri" w:hAnsi="Calibri" w:cs="Calibri"/>
              </w:rPr>
              <w:br/>
            </w:r>
          </w:p>
        </w:tc>
      </w:tr>
      <w:tr w:rsidR="003859A5" w14:paraId="36D509D4" w14:textId="77777777" w:rsidTr="003859A5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2819" w14:textId="77777777" w:rsidR="003859A5" w:rsidRDefault="003859A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PM 11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b/>
                <w:bCs/>
              </w:rPr>
              <w:t>Risk Level Assignment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0460" w14:textId="77777777" w:rsidR="003859A5" w:rsidRDefault="003859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state user can assign and screen all applications by a risk categorization of limited, moderate, or high for a provider at the time of new application, re-enrollment, or re-validation of enrollment. A state user can adjust a provider's risk level due to payment suspension or moratorium.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A0AD" w14:textId="77777777" w:rsidR="003859A5" w:rsidRDefault="003859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 CFR 455.450</w:t>
            </w:r>
            <w:r>
              <w:rPr>
                <w:rFonts w:ascii="Calibri" w:hAnsi="Calibri" w:cs="Calibri"/>
              </w:rPr>
              <w:br/>
            </w:r>
          </w:p>
        </w:tc>
      </w:tr>
      <w:tr w:rsidR="003859A5" w14:paraId="5FA00471" w14:textId="77777777" w:rsidTr="003859A5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E2F5" w14:textId="77777777" w:rsidR="003859A5" w:rsidRDefault="003859A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PM 12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b/>
                <w:bCs/>
              </w:rPr>
              <w:t>Application Fees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9BC9" w14:textId="77777777" w:rsidR="003859A5" w:rsidRDefault="003859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system can collect application fees. A state user ensures any applicable application fee is collected before executing a provider agreement.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2C23" w14:textId="77777777" w:rsidR="003859A5" w:rsidRDefault="003859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 CFR 455.460</w:t>
            </w:r>
            <w:r>
              <w:rPr>
                <w:rFonts w:ascii="Calibri" w:hAnsi="Calibri" w:cs="Calibri"/>
              </w:rPr>
              <w:br/>
            </w:r>
          </w:p>
        </w:tc>
      </w:tr>
      <w:tr w:rsidR="003859A5" w14:paraId="31F5584B" w14:textId="77777777" w:rsidTr="003859A5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5911" w14:textId="77777777" w:rsidR="003859A5" w:rsidRDefault="003859A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PM 13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b/>
                <w:bCs/>
              </w:rPr>
              <w:t>Moratoria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97E0" w14:textId="77777777" w:rsidR="003859A5" w:rsidRDefault="003859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state user can set CMS and state-imposed temporary moratoria</w:t>
            </w:r>
            <w:r>
              <w:rPr>
                <w:rFonts w:ascii="Calibri" w:hAnsi="Calibri" w:cs="Calibri"/>
                <w:strike/>
              </w:rPr>
              <w:t xml:space="preserve"> </w:t>
            </w:r>
            <w:r>
              <w:rPr>
                <w:rFonts w:ascii="Calibri" w:hAnsi="Calibri" w:cs="Calibri"/>
              </w:rPr>
              <w:t>on new providers or provider types in six-month increments.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36C8" w14:textId="77777777" w:rsidR="003859A5" w:rsidRDefault="003859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 CFR 455.470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br/>
            </w:r>
          </w:p>
        </w:tc>
      </w:tr>
      <w:tr w:rsidR="003859A5" w14:paraId="04688333" w14:textId="77777777" w:rsidTr="003859A5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1395" w14:textId="77777777" w:rsidR="003859A5" w:rsidRDefault="003859A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PM 14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b/>
                <w:bCs/>
              </w:rPr>
              <w:t>Network Adequacy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08E8" w14:textId="77777777" w:rsidR="003859A5" w:rsidRDefault="003859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state user can determine network adequacy based upon federal regulations and state plan.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7497" w14:textId="77777777" w:rsidR="003859A5" w:rsidRDefault="003859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 CFR 438.68</w:t>
            </w:r>
            <w:r>
              <w:rPr>
                <w:rFonts w:ascii="Calibri" w:hAnsi="Calibri" w:cs="Calibri"/>
              </w:rPr>
              <w:br/>
            </w:r>
          </w:p>
        </w:tc>
      </w:tr>
      <w:tr w:rsidR="003859A5" w14:paraId="3042BB99" w14:textId="77777777" w:rsidTr="003859A5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F3CD" w14:textId="77777777" w:rsidR="003859A5" w:rsidRDefault="003859A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PM 15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b/>
                <w:bCs/>
              </w:rPr>
              <w:t>Sanctions and Terminations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C2C2" w14:textId="77777777" w:rsidR="003859A5" w:rsidRDefault="003859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state user, and/or the system, can send and receive provider sanction and termination information shared from other states and Medicare to determine continued enrollment for providers.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6AAA" w14:textId="77777777" w:rsidR="003859A5" w:rsidRDefault="003859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 CFR 455.416(c)</w:t>
            </w:r>
            <w:r>
              <w:rPr>
                <w:rFonts w:ascii="Calibri" w:hAnsi="Calibri" w:cs="Calibri"/>
              </w:rPr>
              <w:br/>
            </w:r>
          </w:p>
        </w:tc>
      </w:tr>
      <w:tr w:rsidR="003859A5" w14:paraId="467152A4" w14:textId="77777777" w:rsidTr="003859A5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AD22" w14:textId="77777777" w:rsidR="003859A5" w:rsidRDefault="003859A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PM 16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b/>
                <w:bCs/>
              </w:rPr>
              <w:t>Notices and Communications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AEF1" w14:textId="77777777" w:rsidR="003859A5" w:rsidRDefault="003859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system can generate relevant notices or communications to providers to include, but not limited to, application status, requests for additional information, re-enrollment termination, investigations of fraud, suspension of payment in cases of fraud.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393B" w14:textId="77777777" w:rsidR="003859A5" w:rsidRDefault="003859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 CFR 455.23</w:t>
            </w:r>
          </w:p>
        </w:tc>
      </w:tr>
      <w:tr w:rsidR="003859A5" w14:paraId="76328D2B" w14:textId="77777777" w:rsidTr="003859A5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3EFD" w14:textId="77777777" w:rsidR="003859A5" w:rsidRDefault="003859A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PM 17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b/>
                <w:bCs/>
              </w:rPr>
              <w:t>Fraud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287C" w14:textId="77777777" w:rsidR="003859A5" w:rsidRDefault="003859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state user can report required information about fraud and abuse to the appropriate officials.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D5D9" w14:textId="77777777" w:rsidR="003859A5" w:rsidRDefault="003859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 CFR 455.17</w:t>
            </w:r>
          </w:p>
        </w:tc>
      </w:tr>
      <w:tr w:rsidR="003859A5" w14:paraId="2FA15DBE" w14:textId="77777777" w:rsidTr="003859A5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9254" w14:textId="77777777" w:rsidR="003859A5" w:rsidRDefault="003859A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PM 18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b/>
                <w:bCs/>
              </w:rPr>
              <w:t>Payment Suspension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53B2" w14:textId="77777777" w:rsidR="003859A5" w:rsidRDefault="003859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system, or a state user, can suspend payment to providers in cases of fraud.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8977" w14:textId="77777777" w:rsidR="003859A5" w:rsidRDefault="003859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 CFR 455.23</w:t>
            </w:r>
          </w:p>
        </w:tc>
      </w:tr>
      <w:tr w:rsidR="003859A5" w14:paraId="7CDC9B6E" w14:textId="77777777" w:rsidTr="003859A5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0EC0" w14:textId="77777777" w:rsidR="003859A5" w:rsidRDefault="003859A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PM 19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b/>
                <w:bCs/>
              </w:rPr>
              <w:t>Agreements and Disclosures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B598" w14:textId="77777777" w:rsidR="003859A5" w:rsidRDefault="003859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state user can view provider agreements and disclosures as required by federal and state regulations.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3388" w14:textId="77777777" w:rsidR="003859A5" w:rsidRDefault="003859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 CFR 455.104</w:t>
            </w:r>
            <w:r>
              <w:rPr>
                <w:rFonts w:ascii="Calibri" w:hAnsi="Calibri" w:cs="Calibri"/>
              </w:rPr>
              <w:br/>
              <w:t>42 CFR 455.105</w:t>
            </w:r>
            <w:r>
              <w:rPr>
                <w:rFonts w:ascii="Calibri" w:hAnsi="Calibri" w:cs="Calibri"/>
              </w:rPr>
              <w:br/>
              <w:t>42 CFR 455.106</w:t>
            </w:r>
            <w:r>
              <w:rPr>
                <w:rFonts w:ascii="Calibri" w:hAnsi="Calibri" w:cs="Calibri"/>
              </w:rPr>
              <w:br/>
              <w:t>42 CFR 455.107</w:t>
            </w:r>
          </w:p>
        </w:tc>
      </w:tr>
      <w:tr w:rsidR="003859A5" w14:paraId="48A273FE" w14:textId="77777777" w:rsidTr="003859A5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BF8D" w14:textId="77777777" w:rsidR="003859A5" w:rsidRDefault="003859A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PM 20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b/>
                <w:bCs/>
              </w:rPr>
              <w:t>Change in Circumstances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4FF9" w14:textId="77777777" w:rsidR="003859A5" w:rsidRDefault="003859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state user can view information from a managed care plan describing changes in a network provider's circumstances that may affect the provider's eligibility to participate in Medicaid, including termination of the provider agreement.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F5CD" w14:textId="77777777" w:rsidR="003859A5" w:rsidRDefault="003859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 CFR 438.608(a)</w:t>
            </w:r>
          </w:p>
        </w:tc>
      </w:tr>
      <w:tr w:rsidR="003859A5" w14:paraId="15B41AC6" w14:textId="77777777" w:rsidTr="003859A5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ABCC" w14:textId="77777777" w:rsidR="003859A5" w:rsidRDefault="003859A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PM 21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b/>
                <w:bCs/>
              </w:rPr>
              <w:t>Directory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6063" w14:textId="77777777" w:rsidR="003859A5" w:rsidRDefault="003859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beneficiary can view and search a provider directory.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A769" w14:textId="77777777" w:rsidR="003859A5" w:rsidRDefault="003859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 CFR 438.10(h)</w:t>
            </w:r>
            <w:r>
              <w:rPr>
                <w:rFonts w:ascii="Calibri" w:hAnsi="Calibri" w:cs="Calibri"/>
              </w:rPr>
              <w:br/>
            </w:r>
          </w:p>
        </w:tc>
      </w:tr>
    </w:tbl>
    <w:p w14:paraId="3973D72D" w14:textId="77777777" w:rsidR="003859A5" w:rsidRDefault="003859A5" w:rsidP="003859A5">
      <w:pPr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294E252B" w14:textId="1ECF5216" w:rsidR="00344308" w:rsidRPr="003859A5" w:rsidRDefault="009F3AD4">
      <w:pPr>
        <w:rPr>
          <w:rFonts w:ascii="Calibri" w:eastAsia="Times New Roman" w:hAnsi="Calibri" w:cs="Calibri"/>
          <w:b/>
          <w:bCs/>
          <w:sz w:val="22"/>
          <w:szCs w:val="22"/>
        </w:rPr>
      </w:pPr>
    </w:p>
    <w:sectPr w:rsidR="00344308" w:rsidRPr="00385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A5"/>
    <w:rsid w:val="0031029D"/>
    <w:rsid w:val="003859A5"/>
    <w:rsid w:val="00703D51"/>
    <w:rsid w:val="009F3AD4"/>
    <w:rsid w:val="00B2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7FF3D"/>
  <w15:chartTrackingRefBased/>
  <w15:docId w15:val="{F88D0ADD-9CA5-41BA-AD91-670824D4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9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2">
    <w:name w:val="Table Grid12"/>
    <w:basedOn w:val="TableNormal"/>
    <w:uiPriority w:val="39"/>
    <w:rsid w:val="003859A5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6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F7BC7A1F79E45B8588101739BF555" ma:contentTypeVersion="11" ma:contentTypeDescription="Create a new document." ma:contentTypeScope="" ma:versionID="b05b3520ea77545019e3eeff271b94be">
  <xsd:schema xmlns:xsd="http://www.w3.org/2001/XMLSchema" xmlns:xs="http://www.w3.org/2001/XMLSchema" xmlns:p="http://schemas.microsoft.com/office/2006/metadata/properties" xmlns:ns2="a0976c69-cdba-4cfb-9baf-cc5c7760d342" xmlns:ns3="29fdf6b9-9940-49e9-a5c9-0152aa9d3985" xmlns:ns4="395f7c91-53ff-4102-8bbc-736af5b7963c" targetNamespace="http://schemas.microsoft.com/office/2006/metadata/properties" ma:root="true" ma:fieldsID="d5bf587106267f9b59e8c55a7f596a3a" ns2:_="" ns3:_="" ns4:_="">
    <xsd:import namespace="a0976c69-cdba-4cfb-9baf-cc5c7760d342"/>
    <xsd:import namespace="29fdf6b9-9940-49e9-a5c9-0152aa9d3985"/>
    <xsd:import namespace="395f7c91-53ff-4102-8bbc-736af5b796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4:_dlc_DocId" minOccurs="0"/>
                <xsd:element ref="ns4:_dlc_DocIdUrl" minOccurs="0"/>
                <xsd:element ref="ns4:_dlc_DocIdPersistI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76c69-cdba-4cfb-9baf-cc5c7760d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df6b9-9940-49e9-a5c9-0152aa9d3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7c91-53ff-4102-8bbc-736af5b7963c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5f7c91-53ff-4102-8bbc-736af5b7963c">5TA2TP5YT2S6-2138860988-20220</_dlc_DocId>
    <_dlc_DocIdUrl xmlns="395f7c91-53ff-4102-8bbc-736af5b7963c">
      <Url>https://flahca.sharepoint.com/sites/mes/AHCA/_layouts/15/DocIdRedir.aspx?ID=5TA2TP5YT2S6-2138860988-20220</Url>
      <Description>5TA2TP5YT2S6-2138860988-20220</Description>
    </_dlc_DocIdUrl>
  </documentManagement>
</p:properties>
</file>

<file path=customXml/itemProps1.xml><?xml version="1.0" encoding="utf-8"?>
<ds:datastoreItem xmlns:ds="http://schemas.openxmlformats.org/officeDocument/2006/customXml" ds:itemID="{91CF14C6-5C8E-479A-90B8-6239078C7831}"/>
</file>

<file path=customXml/itemProps2.xml><?xml version="1.0" encoding="utf-8"?>
<ds:datastoreItem xmlns:ds="http://schemas.openxmlformats.org/officeDocument/2006/customXml" ds:itemID="{69CFC15C-48CF-4C6F-8F26-AA04856D9BEB}"/>
</file>

<file path=customXml/itemProps3.xml><?xml version="1.0" encoding="utf-8"?>
<ds:datastoreItem xmlns:ds="http://schemas.openxmlformats.org/officeDocument/2006/customXml" ds:itemID="{E8E808BA-F7E5-4D37-BBB4-EC0BDCEF89EC}"/>
</file>

<file path=customXml/itemProps4.xml><?xml version="1.0" encoding="utf-8"?>
<ds:datastoreItem xmlns:ds="http://schemas.openxmlformats.org/officeDocument/2006/customXml" ds:itemID="{E6209C17-64FD-41CC-AC7B-DDC2E07D0F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Appendix B: CMS-Required Outcomes for Specific MES Modules</vt:lpstr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McCauley, Shawn</dc:creator>
  <cp:keywords/>
  <dc:description/>
  <cp:lastModifiedBy>McCauley, Shawn</cp:lastModifiedBy>
  <cp:revision>1</cp:revision>
  <dcterms:created xsi:type="dcterms:W3CDTF">2021-05-18T18:39:00Z</dcterms:created>
  <dcterms:modified xsi:type="dcterms:W3CDTF">2021-05-18T18:51:00Z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0x0101001AAF7BC7A1F79E45B8588101739BF555</vt:lpwstr>
  </property>
  <property fmtid="{D5CDD505-2E9C-101B-9397-08002B2CF9AE}" pid="3" name="_dlc_DocIdItemGuid">
    <vt:lpwstr>d1daf3d6-3409-4785-b48e-64445702693c</vt:lpwstr>
  </property>
</Properties>
</file>