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ACE0"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Date</w:t>
      </w:r>
      <w:r w:rsidRPr="00246D3E">
        <w:rPr>
          <w:rFonts w:ascii="Arial" w:hAnsi="Arial" w:cs="Arial"/>
          <w:color w:val="FF0000"/>
        </w:rPr>
        <w:t>]</w:t>
      </w:r>
    </w:p>
    <w:p w14:paraId="0139C14E"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Provider Name</w:t>
      </w:r>
      <w:r w:rsidRPr="00246D3E">
        <w:rPr>
          <w:rFonts w:ascii="Arial" w:hAnsi="Arial" w:cs="Arial"/>
          <w:color w:val="FF0000"/>
        </w:rPr>
        <w:t>]</w:t>
      </w:r>
    </w:p>
    <w:p w14:paraId="1FB97C18"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Address</w:t>
      </w:r>
      <w:r w:rsidRPr="00246D3E">
        <w:rPr>
          <w:rFonts w:ascii="Arial" w:hAnsi="Arial" w:cs="Arial"/>
          <w:color w:val="FF0000"/>
        </w:rPr>
        <w:t xml:space="preserve">] </w:t>
      </w:r>
    </w:p>
    <w:p w14:paraId="29DA6562"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City, State, ZIP code</w:t>
      </w:r>
      <w:r w:rsidRPr="00246D3E">
        <w:rPr>
          <w:rFonts w:ascii="Arial" w:hAnsi="Arial" w:cs="Arial"/>
          <w:color w:val="FF0000"/>
        </w:rPr>
        <w:t>]</w:t>
      </w:r>
    </w:p>
    <w:p w14:paraId="3A703C94" w14:textId="77777777" w:rsidR="00D91D68" w:rsidRDefault="00D91D68" w:rsidP="00D91D68">
      <w:pPr>
        <w:spacing w:after="0"/>
        <w:rPr>
          <w:rFonts w:ascii="Arial" w:hAnsi="Arial" w:cs="Arial"/>
        </w:rPr>
      </w:pPr>
    </w:p>
    <w:p w14:paraId="7ED0BF09" w14:textId="77777777" w:rsidR="00D91D68" w:rsidRDefault="00D91D68" w:rsidP="00D91D68">
      <w:pPr>
        <w:rPr>
          <w:rFonts w:ascii="Arial" w:hAnsi="Arial" w:cs="Arial"/>
        </w:rPr>
      </w:pPr>
      <w:r>
        <w:rPr>
          <w:rFonts w:ascii="Arial" w:hAnsi="Arial" w:cs="Arial"/>
        </w:rPr>
        <w:t>Dear Provider:</w:t>
      </w:r>
    </w:p>
    <w:p w14:paraId="6F64CEFA" w14:textId="7212A4A5" w:rsidR="00552CB7" w:rsidRDefault="00D91D68" w:rsidP="00D91D68">
      <w:pPr>
        <w:jc w:val="both"/>
        <w:rPr>
          <w:rFonts w:ascii="Arial" w:hAnsi="Arial" w:cs="Arial"/>
        </w:rPr>
      </w:pPr>
      <w:r w:rsidRPr="00246D3E">
        <w:rPr>
          <w:rFonts w:ascii="Arial" w:hAnsi="Arial" w:cs="Arial"/>
          <w:color w:val="FF0000"/>
        </w:rPr>
        <w:t>[</w:t>
      </w:r>
      <w:r w:rsidRPr="00246D3E">
        <w:rPr>
          <w:rFonts w:ascii="Arial" w:hAnsi="Arial" w:cs="Arial"/>
          <w:i/>
          <w:color w:val="FF0000"/>
        </w:rPr>
        <w:t>Plan Name</w:t>
      </w:r>
      <w:r w:rsidRPr="00246D3E">
        <w:rPr>
          <w:rFonts w:ascii="Arial" w:hAnsi="Arial" w:cs="Arial"/>
          <w:color w:val="FF0000"/>
        </w:rPr>
        <w:t xml:space="preserve">] </w:t>
      </w:r>
      <w:r>
        <w:rPr>
          <w:rFonts w:ascii="Arial" w:hAnsi="Arial" w:cs="Arial"/>
        </w:rPr>
        <w:t xml:space="preserve">is pleased to announce the implementation of the </w:t>
      </w:r>
      <w:r w:rsidR="00552CB7">
        <w:rPr>
          <w:rFonts w:ascii="Arial" w:hAnsi="Arial" w:cs="Arial"/>
        </w:rPr>
        <w:t>Dental Provider</w:t>
      </w:r>
      <w:r>
        <w:rPr>
          <w:rFonts w:ascii="Arial" w:hAnsi="Arial" w:cs="Arial"/>
        </w:rPr>
        <w:t xml:space="preserve"> Incentive Program (</w:t>
      </w:r>
      <w:r w:rsidR="00552CB7">
        <w:rPr>
          <w:rFonts w:ascii="Arial" w:hAnsi="Arial" w:cs="Arial"/>
        </w:rPr>
        <w:t>D</w:t>
      </w:r>
      <w:r>
        <w:rPr>
          <w:rFonts w:ascii="Arial" w:hAnsi="Arial" w:cs="Arial"/>
        </w:rPr>
        <w:t xml:space="preserve">PIP). </w:t>
      </w:r>
      <w:r w:rsidR="007B0174">
        <w:rPr>
          <w:rFonts w:ascii="Arial" w:hAnsi="Arial" w:cs="Arial"/>
        </w:rPr>
        <w:t xml:space="preserve">The </w:t>
      </w:r>
      <w:r w:rsidR="00552CB7">
        <w:rPr>
          <w:rFonts w:ascii="Arial" w:hAnsi="Arial" w:cs="Arial"/>
        </w:rPr>
        <w:t>D</w:t>
      </w:r>
      <w:r>
        <w:rPr>
          <w:rFonts w:ascii="Arial" w:hAnsi="Arial" w:cs="Arial"/>
        </w:rPr>
        <w:t xml:space="preserve">PIP provides the opportunity for designated </w:t>
      </w:r>
      <w:r w:rsidR="00552CB7">
        <w:rPr>
          <w:rFonts w:ascii="Arial" w:hAnsi="Arial" w:cs="Arial"/>
        </w:rPr>
        <w:t>dental providers</w:t>
      </w:r>
      <w:r>
        <w:rPr>
          <w:rFonts w:ascii="Arial" w:hAnsi="Arial" w:cs="Arial"/>
        </w:rPr>
        <w:t xml:space="preserve"> to earn enhanced payments</w:t>
      </w:r>
      <w:r w:rsidR="00552CB7">
        <w:rPr>
          <w:rFonts w:ascii="Arial" w:hAnsi="Arial" w:cs="Arial"/>
        </w:rPr>
        <w:t xml:space="preserve"> </w:t>
      </w:r>
      <w:r>
        <w:rPr>
          <w:rFonts w:ascii="Arial" w:hAnsi="Arial" w:cs="Arial"/>
        </w:rPr>
        <w:t>based on</w:t>
      </w:r>
      <w:r w:rsidR="00A63501">
        <w:rPr>
          <w:rFonts w:ascii="Arial" w:hAnsi="Arial" w:cs="Arial"/>
        </w:rPr>
        <w:t xml:space="preserve"> the</w:t>
      </w:r>
      <w:r>
        <w:rPr>
          <w:rFonts w:ascii="Arial" w:hAnsi="Arial" w:cs="Arial"/>
        </w:rPr>
        <w:t xml:space="preserve"> achievement of </w:t>
      </w:r>
      <w:r w:rsidR="00552CB7" w:rsidRPr="00552CB7">
        <w:rPr>
          <w:rFonts w:ascii="Arial" w:hAnsi="Arial" w:cs="Arial"/>
        </w:rPr>
        <w:t xml:space="preserve">performance measures associated with </w:t>
      </w:r>
      <w:r w:rsidR="008C15DF">
        <w:rPr>
          <w:rFonts w:ascii="Arial" w:hAnsi="Arial" w:cs="Arial"/>
        </w:rPr>
        <w:t>preventive</w:t>
      </w:r>
      <w:r w:rsidR="00552CB7" w:rsidRPr="00552CB7">
        <w:rPr>
          <w:rFonts w:ascii="Arial" w:hAnsi="Arial" w:cs="Arial"/>
        </w:rPr>
        <w:t xml:space="preserve"> dental services</w:t>
      </w:r>
      <w:r w:rsidR="00552CB7">
        <w:rPr>
          <w:rFonts w:ascii="Arial" w:hAnsi="Arial" w:cs="Arial"/>
        </w:rPr>
        <w:t>.</w:t>
      </w:r>
    </w:p>
    <w:p w14:paraId="3D2A05AC" w14:textId="6C1B1577" w:rsidR="00D91D68" w:rsidRPr="009A7A98" w:rsidRDefault="00D91D68" w:rsidP="00D91D68">
      <w:pPr>
        <w:jc w:val="both"/>
        <w:rPr>
          <w:rFonts w:ascii="Arial" w:hAnsi="Arial" w:cs="Arial"/>
        </w:rPr>
      </w:pPr>
      <w:r>
        <w:rPr>
          <w:rFonts w:ascii="Arial" w:hAnsi="Arial" w:cs="Arial"/>
        </w:rPr>
        <w:t xml:space="preserve">This letter is to inform you that you have been identified as one of the provider types eligible to qualify for the </w:t>
      </w:r>
      <w:r w:rsidR="00552CB7">
        <w:rPr>
          <w:rFonts w:ascii="Arial" w:hAnsi="Arial" w:cs="Arial"/>
        </w:rPr>
        <w:t>DPIP</w:t>
      </w:r>
      <w:r>
        <w:rPr>
          <w:rFonts w:ascii="Arial" w:hAnsi="Arial" w:cs="Arial"/>
        </w:rPr>
        <w:t>.</w:t>
      </w:r>
      <w:r w:rsidR="00552CB7">
        <w:rPr>
          <w:rFonts w:ascii="Arial" w:hAnsi="Arial" w:cs="Arial"/>
          <w:i/>
          <w:color w:val="FF0000"/>
        </w:rPr>
        <w:t xml:space="preserve"> </w:t>
      </w:r>
      <w:r>
        <w:rPr>
          <w:rFonts w:ascii="Arial" w:hAnsi="Arial" w:cs="Arial"/>
        </w:rPr>
        <w:t xml:space="preserve"> </w:t>
      </w:r>
    </w:p>
    <w:p w14:paraId="10286AA8" w14:textId="63A1522C" w:rsidR="00D91D68" w:rsidRDefault="00D91D68" w:rsidP="00D91D68">
      <w:pPr>
        <w:jc w:val="both"/>
        <w:rPr>
          <w:rFonts w:ascii="Arial" w:hAnsi="Arial" w:cs="Arial"/>
          <w:b/>
          <w:u w:val="single"/>
        </w:rPr>
      </w:pPr>
      <w:r>
        <w:rPr>
          <w:rFonts w:ascii="Arial" w:hAnsi="Arial" w:cs="Arial"/>
          <w:b/>
          <w:u w:val="single"/>
        </w:rPr>
        <w:t>How do I Qualify</w:t>
      </w:r>
      <w:r w:rsidRPr="00A6265A">
        <w:rPr>
          <w:rFonts w:ascii="Arial" w:hAnsi="Arial" w:cs="Arial"/>
          <w:b/>
          <w:u w:val="single"/>
        </w:rPr>
        <w:t>?</w:t>
      </w:r>
    </w:p>
    <w:p w14:paraId="363FB307" w14:textId="258607EA" w:rsidR="00570254" w:rsidRPr="00A22043" w:rsidRDefault="00151B66" w:rsidP="00287A8D">
      <w:pPr>
        <w:jc w:val="both"/>
        <w:rPr>
          <w:rFonts w:ascii="Arial" w:hAnsi="Arial" w:cs="Arial"/>
        </w:rPr>
      </w:pPr>
      <w:r>
        <w:rPr>
          <w:rFonts w:ascii="Arial" w:hAnsi="Arial" w:cs="Arial"/>
        </w:rPr>
        <w:t>Eligible</w:t>
      </w:r>
      <w:r w:rsidR="00570254">
        <w:rPr>
          <w:rFonts w:ascii="Arial" w:hAnsi="Arial" w:cs="Arial"/>
        </w:rPr>
        <w:t xml:space="preserve"> dental</w:t>
      </w:r>
      <w:r w:rsidR="00287A8D" w:rsidRPr="00A22043">
        <w:rPr>
          <w:rFonts w:ascii="Arial" w:hAnsi="Arial" w:cs="Arial"/>
        </w:rPr>
        <w:t xml:space="preserve"> providers are </w:t>
      </w:r>
      <w:r w:rsidR="00570254">
        <w:rPr>
          <w:rFonts w:ascii="Arial" w:hAnsi="Arial" w:cs="Arial"/>
        </w:rPr>
        <w:t xml:space="preserve">General </w:t>
      </w:r>
      <w:r w:rsidR="008C15DF">
        <w:rPr>
          <w:rFonts w:ascii="Arial" w:hAnsi="Arial" w:cs="Arial"/>
        </w:rPr>
        <w:t xml:space="preserve">and Pediatric </w:t>
      </w:r>
      <w:r w:rsidR="00570254">
        <w:rPr>
          <w:rFonts w:ascii="Arial" w:hAnsi="Arial" w:cs="Arial"/>
        </w:rPr>
        <w:t xml:space="preserve">Dentists </w:t>
      </w:r>
      <w:r w:rsidR="00154C39">
        <w:rPr>
          <w:rFonts w:ascii="Arial" w:hAnsi="Arial" w:cs="Arial"/>
        </w:rPr>
        <w:t xml:space="preserve">who </w:t>
      </w:r>
      <w:r w:rsidR="00570254">
        <w:rPr>
          <w:rFonts w:ascii="Arial" w:hAnsi="Arial" w:cs="Arial"/>
        </w:rPr>
        <w:t>provide</w:t>
      </w:r>
      <w:r w:rsidR="00287A8D">
        <w:rPr>
          <w:rFonts w:ascii="Arial" w:hAnsi="Arial" w:cs="Arial"/>
        </w:rPr>
        <w:t xml:space="preserve"> </w:t>
      </w:r>
      <w:r w:rsidR="00AF576C">
        <w:rPr>
          <w:rFonts w:ascii="Arial" w:hAnsi="Arial" w:cs="Arial"/>
        </w:rPr>
        <w:t xml:space="preserve">dental </w:t>
      </w:r>
      <w:r w:rsidR="00287A8D">
        <w:rPr>
          <w:rFonts w:ascii="Arial" w:hAnsi="Arial" w:cs="Arial"/>
        </w:rPr>
        <w:t xml:space="preserve">services to enrollees under the age of 21 years. </w:t>
      </w:r>
      <w:r w:rsidR="00570254">
        <w:rPr>
          <w:rFonts w:ascii="Arial" w:hAnsi="Arial" w:cs="Arial"/>
        </w:rPr>
        <w:t>A</w:t>
      </w:r>
      <w:r w:rsidR="00287A8D" w:rsidRPr="00A22043">
        <w:rPr>
          <w:rFonts w:ascii="Arial" w:hAnsi="Arial" w:cs="Arial"/>
        </w:rPr>
        <w:t xml:space="preserve"> </w:t>
      </w:r>
      <w:r w:rsidR="00570254">
        <w:rPr>
          <w:rFonts w:ascii="Arial" w:hAnsi="Arial" w:cs="Arial"/>
        </w:rPr>
        <w:t>dental</w:t>
      </w:r>
      <w:r w:rsidR="00DD3223">
        <w:rPr>
          <w:rFonts w:ascii="Arial" w:hAnsi="Arial" w:cs="Arial"/>
        </w:rPr>
        <w:t xml:space="preserve"> </w:t>
      </w:r>
      <w:r w:rsidR="00287A8D">
        <w:rPr>
          <w:rFonts w:ascii="Arial" w:hAnsi="Arial" w:cs="Arial"/>
        </w:rPr>
        <w:t>provider</w:t>
      </w:r>
      <w:r w:rsidR="0027220B">
        <w:rPr>
          <w:rFonts w:ascii="Arial" w:hAnsi="Arial" w:cs="Arial"/>
        </w:rPr>
        <w:t xml:space="preserve"> </w:t>
      </w:r>
      <w:r w:rsidR="00287A8D">
        <w:rPr>
          <w:rFonts w:ascii="Arial" w:hAnsi="Arial" w:cs="Arial"/>
        </w:rPr>
        <w:t xml:space="preserve">may achieve </w:t>
      </w:r>
      <w:r w:rsidR="00570254">
        <w:rPr>
          <w:rFonts w:ascii="Arial" w:hAnsi="Arial" w:cs="Arial"/>
        </w:rPr>
        <w:t>Qualified Provider</w:t>
      </w:r>
      <w:r w:rsidR="00287A8D" w:rsidRPr="00A22043">
        <w:rPr>
          <w:rFonts w:ascii="Arial" w:hAnsi="Arial" w:cs="Arial"/>
        </w:rPr>
        <w:t xml:space="preserve"> status</w:t>
      </w:r>
      <w:r w:rsidR="00570254">
        <w:rPr>
          <w:rFonts w:ascii="Arial" w:hAnsi="Arial" w:cs="Arial"/>
        </w:rPr>
        <w:t xml:space="preserve"> by </w:t>
      </w:r>
      <w:r w:rsidR="0027220B">
        <w:rPr>
          <w:rFonts w:ascii="Arial" w:hAnsi="Arial" w:cs="Arial"/>
        </w:rPr>
        <w:t>achieving or exceeding</w:t>
      </w:r>
      <w:r w:rsidR="00570254">
        <w:rPr>
          <w:rFonts w:ascii="Arial" w:hAnsi="Arial" w:cs="Arial"/>
        </w:rPr>
        <w:t xml:space="preserve"> the </w:t>
      </w:r>
      <w:r w:rsidR="0027220B">
        <w:rPr>
          <w:rFonts w:ascii="Arial" w:hAnsi="Arial" w:cs="Arial"/>
        </w:rPr>
        <w:t>benchmarks for each of the following metrics</w:t>
      </w:r>
      <w:r w:rsidR="00E343ED">
        <w:rPr>
          <w:rFonts w:ascii="Arial" w:hAnsi="Arial" w:cs="Arial"/>
        </w:rPr>
        <w:t xml:space="preserve"> during </w:t>
      </w:r>
      <w:r w:rsidR="00877A34">
        <w:rPr>
          <w:rFonts w:ascii="Arial" w:hAnsi="Arial" w:cs="Arial"/>
        </w:rPr>
        <w:t>the measurement periods listed in the table below</w:t>
      </w:r>
      <w:r w:rsidR="006A66E2">
        <w:rPr>
          <w:rFonts w:ascii="Arial" w:hAnsi="Arial" w:cs="Arial"/>
        </w:rPr>
        <w:t>.</w:t>
      </w:r>
      <w:r w:rsidR="006A66E2" w:rsidRPr="006A66E2">
        <w:rPr>
          <w:rFonts w:ascii="Arial" w:hAnsi="Arial" w:cs="Arial"/>
        </w:rPr>
        <w:t xml:space="preserve"> </w:t>
      </w:r>
      <w:r w:rsidR="00877A34">
        <w:rPr>
          <w:rFonts w:ascii="Arial" w:hAnsi="Arial" w:cs="Arial"/>
        </w:rPr>
        <w:t xml:space="preserve">Providers who achieve the benchmarks for all five metrics will receive enhanced payments for the services listed in the Included Services section, for dates of service October 1, </w:t>
      </w:r>
      <w:proofErr w:type="gramStart"/>
      <w:r w:rsidR="00877A34">
        <w:rPr>
          <w:rFonts w:ascii="Arial" w:hAnsi="Arial" w:cs="Arial"/>
        </w:rPr>
        <w:t>2025</w:t>
      </w:r>
      <w:proofErr w:type="gramEnd"/>
      <w:r w:rsidR="00877A34">
        <w:rPr>
          <w:rFonts w:ascii="Arial" w:hAnsi="Arial" w:cs="Arial"/>
        </w:rPr>
        <w:t xml:space="preserve"> through September 30, 2026.</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3"/>
        <w:gridCol w:w="1635"/>
        <w:gridCol w:w="1403"/>
        <w:gridCol w:w="4189"/>
      </w:tblGrid>
      <w:tr w:rsidR="006A66E2" w:rsidRPr="004769D5" w14:paraId="605B5C7A" w14:textId="77777777" w:rsidTr="006A66E2">
        <w:trPr>
          <w:jc w:val="center"/>
        </w:trPr>
        <w:tc>
          <w:tcPr>
            <w:tcW w:w="2186" w:type="dxa"/>
          </w:tcPr>
          <w:p w14:paraId="1629213A" w14:textId="77777777" w:rsidR="006A66E2" w:rsidRPr="0027220B" w:rsidRDefault="006A66E2" w:rsidP="0094778C">
            <w:pPr>
              <w:rPr>
                <w:rFonts w:ascii="Arial" w:hAnsi="Arial" w:cs="Arial"/>
                <w:b/>
                <w:bCs/>
              </w:rPr>
            </w:pPr>
            <w:bookmarkStart w:id="0" w:name="_Hlk124838646"/>
            <w:r w:rsidRPr="0027220B">
              <w:rPr>
                <w:rFonts w:ascii="Arial" w:hAnsi="Arial" w:cs="Arial"/>
                <w:b/>
                <w:bCs/>
              </w:rPr>
              <w:t>Metric</w:t>
            </w:r>
          </w:p>
        </w:tc>
        <w:tc>
          <w:tcPr>
            <w:tcW w:w="1265" w:type="dxa"/>
          </w:tcPr>
          <w:p w14:paraId="2674EA6A" w14:textId="779103B3" w:rsidR="006A66E2" w:rsidRPr="0027220B" w:rsidRDefault="006A66E2" w:rsidP="0094778C">
            <w:pPr>
              <w:rPr>
                <w:rFonts w:ascii="Arial" w:hAnsi="Arial" w:cs="Arial"/>
                <w:b/>
                <w:bCs/>
              </w:rPr>
            </w:pPr>
            <w:r>
              <w:rPr>
                <w:rFonts w:ascii="Arial" w:hAnsi="Arial" w:cs="Arial"/>
                <w:b/>
                <w:bCs/>
              </w:rPr>
              <w:t>Measurement Period</w:t>
            </w:r>
          </w:p>
        </w:tc>
        <w:tc>
          <w:tcPr>
            <w:tcW w:w="1416" w:type="dxa"/>
          </w:tcPr>
          <w:p w14:paraId="02CB7980" w14:textId="460AC6AE" w:rsidR="006A66E2" w:rsidRPr="0027220B" w:rsidRDefault="006A66E2" w:rsidP="0094778C">
            <w:pPr>
              <w:rPr>
                <w:rFonts w:ascii="Arial" w:hAnsi="Arial" w:cs="Arial"/>
                <w:b/>
                <w:bCs/>
              </w:rPr>
            </w:pPr>
            <w:r w:rsidRPr="0027220B">
              <w:rPr>
                <w:rFonts w:ascii="Arial" w:hAnsi="Arial" w:cs="Arial"/>
                <w:b/>
                <w:bCs/>
              </w:rPr>
              <w:t>Incentive Threshold Rate</w:t>
            </w:r>
          </w:p>
        </w:tc>
        <w:tc>
          <w:tcPr>
            <w:tcW w:w="4463" w:type="dxa"/>
          </w:tcPr>
          <w:p w14:paraId="5300CA3D" w14:textId="77777777" w:rsidR="006A66E2" w:rsidRPr="0027220B" w:rsidRDefault="006A66E2" w:rsidP="0094778C">
            <w:pPr>
              <w:rPr>
                <w:rFonts w:ascii="Arial" w:hAnsi="Arial" w:cs="Arial"/>
                <w:b/>
                <w:bCs/>
              </w:rPr>
            </w:pPr>
            <w:r w:rsidRPr="0027220B">
              <w:rPr>
                <w:rFonts w:ascii="Arial" w:hAnsi="Arial" w:cs="Arial"/>
                <w:b/>
                <w:bCs/>
              </w:rPr>
              <w:t>Metric Description</w:t>
            </w:r>
          </w:p>
        </w:tc>
      </w:tr>
      <w:tr w:rsidR="006A66E2" w:rsidRPr="004769D5" w14:paraId="6C925D43" w14:textId="77777777" w:rsidTr="006A66E2">
        <w:trPr>
          <w:trHeight w:val="1248"/>
          <w:jc w:val="center"/>
        </w:trPr>
        <w:tc>
          <w:tcPr>
            <w:tcW w:w="2186" w:type="dxa"/>
          </w:tcPr>
          <w:p w14:paraId="2BF7AEC1" w14:textId="2E4C7F71" w:rsidR="006A66E2" w:rsidRPr="0027220B" w:rsidRDefault="006A66E2" w:rsidP="0094778C">
            <w:pPr>
              <w:rPr>
                <w:rFonts w:ascii="Arial" w:hAnsi="Arial" w:cs="Arial"/>
                <w:sz w:val="20"/>
                <w:szCs w:val="20"/>
              </w:rPr>
            </w:pPr>
            <w:r w:rsidRPr="0027220B">
              <w:rPr>
                <w:rFonts w:ascii="Arial" w:hAnsi="Arial" w:cs="Arial"/>
                <w:sz w:val="20"/>
                <w:szCs w:val="20"/>
              </w:rPr>
              <w:t>Prevent</w:t>
            </w:r>
            <w:r>
              <w:rPr>
                <w:rFonts w:ascii="Arial" w:hAnsi="Arial" w:cs="Arial"/>
                <w:sz w:val="20"/>
                <w:szCs w:val="20"/>
              </w:rPr>
              <w:t xml:space="preserve">ive </w:t>
            </w:r>
            <w:r w:rsidRPr="0027220B">
              <w:rPr>
                <w:rFonts w:ascii="Arial" w:hAnsi="Arial" w:cs="Arial"/>
                <w:sz w:val="20"/>
                <w:szCs w:val="20"/>
              </w:rPr>
              <w:t>Dental Services</w:t>
            </w:r>
          </w:p>
        </w:tc>
        <w:tc>
          <w:tcPr>
            <w:tcW w:w="1265" w:type="dxa"/>
          </w:tcPr>
          <w:p w14:paraId="4B62EEAB" w14:textId="5284E008" w:rsidR="006A66E2" w:rsidRPr="0027220B" w:rsidRDefault="006A66E2" w:rsidP="0094778C">
            <w:pPr>
              <w:rPr>
                <w:rFonts w:ascii="Arial" w:hAnsi="Arial" w:cs="Arial"/>
                <w:sz w:val="20"/>
                <w:szCs w:val="20"/>
              </w:rPr>
            </w:pPr>
            <w:r>
              <w:rPr>
                <w:rFonts w:ascii="Arial" w:hAnsi="Arial" w:cs="Arial"/>
                <w:sz w:val="20"/>
                <w:szCs w:val="20"/>
              </w:rPr>
              <w:t>10/1/202</w:t>
            </w:r>
            <w:r w:rsidR="00E343ED">
              <w:rPr>
                <w:rFonts w:ascii="Arial" w:hAnsi="Arial" w:cs="Arial"/>
                <w:sz w:val="20"/>
                <w:szCs w:val="20"/>
              </w:rPr>
              <w:t>3</w:t>
            </w:r>
            <w:r>
              <w:rPr>
                <w:rFonts w:ascii="Arial" w:hAnsi="Arial" w:cs="Arial"/>
                <w:sz w:val="20"/>
                <w:szCs w:val="20"/>
              </w:rPr>
              <w:t>-09/30/202</w:t>
            </w:r>
            <w:r w:rsidR="00E343ED">
              <w:rPr>
                <w:rFonts w:ascii="Arial" w:hAnsi="Arial" w:cs="Arial"/>
                <w:sz w:val="20"/>
                <w:szCs w:val="20"/>
              </w:rPr>
              <w:t>4</w:t>
            </w:r>
          </w:p>
        </w:tc>
        <w:tc>
          <w:tcPr>
            <w:tcW w:w="1416" w:type="dxa"/>
          </w:tcPr>
          <w:p w14:paraId="5E645E81" w14:textId="6E5198E1" w:rsidR="006A66E2" w:rsidRPr="0027220B" w:rsidRDefault="006A66E2" w:rsidP="0094778C">
            <w:pPr>
              <w:rPr>
                <w:rFonts w:ascii="Arial" w:hAnsi="Arial" w:cs="Arial"/>
                <w:sz w:val="20"/>
                <w:szCs w:val="20"/>
              </w:rPr>
            </w:pPr>
            <w:r w:rsidRPr="0027220B">
              <w:rPr>
                <w:rFonts w:ascii="Arial" w:hAnsi="Arial" w:cs="Arial"/>
                <w:sz w:val="20"/>
                <w:szCs w:val="20"/>
              </w:rPr>
              <w:t>65%</w:t>
            </w:r>
          </w:p>
        </w:tc>
        <w:tc>
          <w:tcPr>
            <w:tcW w:w="4463" w:type="dxa"/>
          </w:tcPr>
          <w:p w14:paraId="148FD2B0" w14:textId="022F7E90" w:rsidR="006A66E2" w:rsidRPr="0027220B" w:rsidRDefault="006A66E2" w:rsidP="0094778C">
            <w:pPr>
              <w:rPr>
                <w:rFonts w:ascii="Arial" w:hAnsi="Arial" w:cs="Arial"/>
                <w:sz w:val="20"/>
                <w:szCs w:val="20"/>
              </w:rPr>
            </w:pPr>
            <w:r w:rsidRPr="0027220B">
              <w:rPr>
                <w:rFonts w:ascii="Arial" w:hAnsi="Arial" w:cs="Arial"/>
                <w:sz w:val="20"/>
                <w:szCs w:val="20"/>
              </w:rPr>
              <w:t>Percentage of children ages 1 to 20 who are eligible for at least 90 continuous days, are eligible for</w:t>
            </w:r>
            <w:r w:rsidR="00576E6F">
              <w:rPr>
                <w:rFonts w:ascii="Arial" w:hAnsi="Arial" w:cs="Arial"/>
                <w:sz w:val="20"/>
                <w:szCs w:val="20"/>
              </w:rPr>
              <w:t xml:space="preserve"> Early and Periodic Screening, Diagnostic, and Treatment (</w:t>
            </w:r>
            <w:r w:rsidRPr="0027220B">
              <w:rPr>
                <w:rFonts w:ascii="Arial" w:hAnsi="Arial" w:cs="Arial"/>
                <w:sz w:val="20"/>
                <w:szCs w:val="20"/>
              </w:rPr>
              <w:t>EPSDT</w:t>
            </w:r>
            <w:r w:rsidR="00576E6F">
              <w:rPr>
                <w:rFonts w:ascii="Arial" w:hAnsi="Arial" w:cs="Arial"/>
                <w:sz w:val="20"/>
                <w:szCs w:val="20"/>
              </w:rPr>
              <w:t>)</w:t>
            </w:r>
            <w:r w:rsidRPr="0027220B">
              <w:rPr>
                <w:rFonts w:ascii="Arial" w:hAnsi="Arial" w:cs="Arial"/>
                <w:sz w:val="20"/>
                <w:szCs w:val="20"/>
              </w:rPr>
              <w:t xml:space="preserve"> services, and who received at least one </w:t>
            </w:r>
            <w:r>
              <w:rPr>
                <w:rFonts w:ascii="Arial" w:hAnsi="Arial" w:cs="Arial"/>
                <w:sz w:val="20"/>
                <w:szCs w:val="20"/>
              </w:rPr>
              <w:t>preventive</w:t>
            </w:r>
            <w:r w:rsidRPr="0027220B">
              <w:rPr>
                <w:rFonts w:ascii="Arial" w:hAnsi="Arial" w:cs="Arial"/>
                <w:sz w:val="20"/>
                <w:szCs w:val="20"/>
              </w:rPr>
              <w:t xml:space="preserve"> dental service during the measurement period</w:t>
            </w:r>
          </w:p>
        </w:tc>
      </w:tr>
      <w:tr w:rsidR="006A66E2" w:rsidRPr="004769D5" w14:paraId="3BECC74A" w14:textId="77777777" w:rsidTr="006A66E2">
        <w:trPr>
          <w:trHeight w:val="843"/>
          <w:jc w:val="center"/>
        </w:trPr>
        <w:tc>
          <w:tcPr>
            <w:tcW w:w="2186" w:type="dxa"/>
          </w:tcPr>
          <w:p w14:paraId="4610BD70" w14:textId="4E936AA6" w:rsidR="006A66E2" w:rsidRPr="0027220B" w:rsidRDefault="00E343ED" w:rsidP="0094778C">
            <w:pPr>
              <w:rPr>
                <w:rFonts w:ascii="Arial" w:hAnsi="Arial" w:cs="Arial"/>
                <w:sz w:val="20"/>
                <w:szCs w:val="20"/>
              </w:rPr>
            </w:pPr>
            <w:r>
              <w:rPr>
                <w:rFonts w:ascii="Arial" w:hAnsi="Arial" w:cs="Arial"/>
                <w:sz w:val="20"/>
                <w:szCs w:val="20"/>
              </w:rPr>
              <w:t xml:space="preserve">CMS Child Core Set: </w:t>
            </w:r>
            <w:r w:rsidR="006A66E2" w:rsidRPr="0027220B">
              <w:rPr>
                <w:rFonts w:ascii="Arial" w:hAnsi="Arial" w:cs="Arial"/>
                <w:sz w:val="20"/>
                <w:szCs w:val="20"/>
              </w:rPr>
              <w:t>Oral Evaluation – Total</w:t>
            </w:r>
          </w:p>
        </w:tc>
        <w:tc>
          <w:tcPr>
            <w:tcW w:w="1265" w:type="dxa"/>
          </w:tcPr>
          <w:p w14:paraId="78CF95B2" w14:textId="12B7D4EC" w:rsidR="006A66E2" w:rsidRPr="0027220B" w:rsidRDefault="006A66E2" w:rsidP="0094778C">
            <w:pPr>
              <w:rPr>
                <w:rFonts w:ascii="Arial" w:hAnsi="Arial" w:cs="Arial"/>
                <w:sz w:val="20"/>
                <w:szCs w:val="20"/>
              </w:rPr>
            </w:pPr>
            <w:r w:rsidRPr="006A66E2">
              <w:rPr>
                <w:rFonts w:ascii="Arial" w:hAnsi="Arial" w:cs="Arial"/>
                <w:sz w:val="20"/>
                <w:szCs w:val="20"/>
              </w:rPr>
              <w:t>1/1/202</w:t>
            </w:r>
            <w:r w:rsidR="00E343ED">
              <w:rPr>
                <w:rFonts w:ascii="Arial" w:hAnsi="Arial" w:cs="Arial"/>
                <w:sz w:val="20"/>
                <w:szCs w:val="20"/>
              </w:rPr>
              <w:t>4</w:t>
            </w:r>
            <w:r w:rsidRPr="006A66E2">
              <w:rPr>
                <w:rFonts w:ascii="Arial" w:hAnsi="Arial" w:cs="Arial"/>
                <w:sz w:val="20"/>
                <w:szCs w:val="20"/>
              </w:rPr>
              <w:t>-12/31/202</w:t>
            </w:r>
            <w:r w:rsidR="00E343ED">
              <w:rPr>
                <w:rFonts w:ascii="Arial" w:hAnsi="Arial" w:cs="Arial"/>
                <w:sz w:val="20"/>
                <w:szCs w:val="20"/>
              </w:rPr>
              <w:t>4</w:t>
            </w:r>
          </w:p>
        </w:tc>
        <w:tc>
          <w:tcPr>
            <w:tcW w:w="1416" w:type="dxa"/>
          </w:tcPr>
          <w:p w14:paraId="3DC93E44" w14:textId="2D6AE493" w:rsidR="006A66E2" w:rsidRPr="0027220B" w:rsidRDefault="006A66E2" w:rsidP="0094778C">
            <w:pPr>
              <w:rPr>
                <w:rFonts w:ascii="Arial" w:hAnsi="Arial" w:cs="Arial"/>
                <w:sz w:val="20"/>
                <w:szCs w:val="20"/>
              </w:rPr>
            </w:pPr>
            <w:r w:rsidRPr="0027220B">
              <w:rPr>
                <w:rFonts w:ascii="Arial" w:hAnsi="Arial" w:cs="Arial"/>
                <w:sz w:val="20"/>
                <w:szCs w:val="20"/>
              </w:rPr>
              <w:t>65%</w:t>
            </w:r>
          </w:p>
        </w:tc>
        <w:tc>
          <w:tcPr>
            <w:tcW w:w="4463" w:type="dxa"/>
          </w:tcPr>
          <w:p w14:paraId="34B5C253" w14:textId="621CC563" w:rsidR="006A66E2" w:rsidRPr="0027220B" w:rsidRDefault="006A66E2" w:rsidP="0094778C">
            <w:pPr>
              <w:rPr>
                <w:rFonts w:ascii="Arial" w:hAnsi="Arial" w:cs="Arial"/>
                <w:sz w:val="20"/>
                <w:szCs w:val="20"/>
              </w:rPr>
            </w:pPr>
            <w:r w:rsidRPr="0027220B">
              <w:rPr>
                <w:rFonts w:ascii="Arial" w:hAnsi="Arial" w:cs="Arial"/>
                <w:sz w:val="20"/>
                <w:szCs w:val="20"/>
              </w:rPr>
              <w:t>Percentage of enrolled children under age 21 who received a comprehensive or periodic oral evaluation within the reporting year</w:t>
            </w:r>
          </w:p>
        </w:tc>
      </w:tr>
      <w:tr w:rsidR="006A66E2" w:rsidRPr="004769D5" w14:paraId="47BA72B8" w14:textId="77777777" w:rsidTr="006A66E2">
        <w:trPr>
          <w:trHeight w:val="825"/>
          <w:jc w:val="center"/>
        </w:trPr>
        <w:tc>
          <w:tcPr>
            <w:tcW w:w="2186" w:type="dxa"/>
          </w:tcPr>
          <w:p w14:paraId="05A63342" w14:textId="4D3E2A0B" w:rsidR="006A66E2" w:rsidRPr="0027220B" w:rsidRDefault="006A66E2" w:rsidP="0094778C">
            <w:pPr>
              <w:rPr>
                <w:rFonts w:ascii="Arial" w:hAnsi="Arial" w:cs="Arial"/>
                <w:sz w:val="20"/>
                <w:szCs w:val="20"/>
              </w:rPr>
            </w:pPr>
            <w:r>
              <w:rPr>
                <w:rFonts w:ascii="Arial" w:hAnsi="Arial" w:cs="Arial"/>
                <w:sz w:val="20"/>
                <w:szCs w:val="20"/>
              </w:rPr>
              <w:t xml:space="preserve">DQA: </w:t>
            </w:r>
            <w:r w:rsidRPr="0027220B">
              <w:rPr>
                <w:rFonts w:ascii="Arial" w:hAnsi="Arial" w:cs="Arial"/>
                <w:sz w:val="20"/>
                <w:szCs w:val="20"/>
              </w:rPr>
              <w:t>Caries Risk Assessment – Total</w:t>
            </w:r>
          </w:p>
        </w:tc>
        <w:tc>
          <w:tcPr>
            <w:tcW w:w="1265" w:type="dxa"/>
          </w:tcPr>
          <w:p w14:paraId="1F2E7CA9" w14:textId="38F042EA" w:rsidR="006A66E2" w:rsidRPr="0027220B" w:rsidRDefault="0042001A" w:rsidP="0094778C">
            <w:pPr>
              <w:rPr>
                <w:rFonts w:ascii="Arial" w:hAnsi="Arial" w:cs="Arial"/>
                <w:sz w:val="20"/>
                <w:szCs w:val="20"/>
              </w:rPr>
            </w:pPr>
            <w:r w:rsidRPr="0042001A">
              <w:rPr>
                <w:rFonts w:ascii="Arial" w:hAnsi="Arial" w:cs="Arial"/>
                <w:sz w:val="20"/>
                <w:szCs w:val="20"/>
              </w:rPr>
              <w:t>1/1/202</w:t>
            </w:r>
            <w:r w:rsidR="00E343ED">
              <w:rPr>
                <w:rFonts w:ascii="Arial" w:hAnsi="Arial" w:cs="Arial"/>
                <w:sz w:val="20"/>
                <w:szCs w:val="20"/>
              </w:rPr>
              <w:t>4</w:t>
            </w:r>
            <w:r w:rsidRPr="0042001A">
              <w:rPr>
                <w:rFonts w:ascii="Arial" w:hAnsi="Arial" w:cs="Arial"/>
                <w:sz w:val="20"/>
                <w:szCs w:val="20"/>
              </w:rPr>
              <w:t>-12/31/202</w:t>
            </w:r>
            <w:r w:rsidR="00E343ED">
              <w:rPr>
                <w:rFonts w:ascii="Arial" w:hAnsi="Arial" w:cs="Arial"/>
                <w:sz w:val="20"/>
                <w:szCs w:val="20"/>
              </w:rPr>
              <w:t>4</w:t>
            </w:r>
          </w:p>
        </w:tc>
        <w:tc>
          <w:tcPr>
            <w:tcW w:w="1416" w:type="dxa"/>
          </w:tcPr>
          <w:p w14:paraId="7E63487B" w14:textId="4EAEB3A4" w:rsidR="006A66E2" w:rsidRPr="0027220B" w:rsidRDefault="006A66E2" w:rsidP="0094778C">
            <w:pPr>
              <w:rPr>
                <w:rFonts w:ascii="Arial" w:hAnsi="Arial" w:cs="Arial"/>
                <w:sz w:val="20"/>
                <w:szCs w:val="20"/>
              </w:rPr>
            </w:pPr>
            <w:r w:rsidRPr="0027220B">
              <w:rPr>
                <w:rFonts w:ascii="Arial" w:hAnsi="Arial" w:cs="Arial"/>
                <w:sz w:val="20"/>
                <w:szCs w:val="20"/>
              </w:rPr>
              <w:t>70%</w:t>
            </w:r>
          </w:p>
        </w:tc>
        <w:tc>
          <w:tcPr>
            <w:tcW w:w="4463" w:type="dxa"/>
          </w:tcPr>
          <w:p w14:paraId="5DB36F1C" w14:textId="44ED63DC" w:rsidR="006A66E2" w:rsidRPr="0027220B" w:rsidRDefault="006A66E2" w:rsidP="0094778C">
            <w:pPr>
              <w:rPr>
                <w:rFonts w:ascii="Arial" w:hAnsi="Arial" w:cs="Arial"/>
                <w:sz w:val="20"/>
                <w:szCs w:val="20"/>
              </w:rPr>
            </w:pPr>
            <w:r w:rsidRPr="0027220B">
              <w:rPr>
                <w:rFonts w:ascii="Arial" w:hAnsi="Arial" w:cs="Arial"/>
                <w:sz w:val="20"/>
                <w:szCs w:val="20"/>
              </w:rPr>
              <w:t>Percentage of enrolled children under age 21 years who have caries risk documented in the reporting year</w:t>
            </w:r>
          </w:p>
        </w:tc>
      </w:tr>
      <w:tr w:rsidR="006A66E2" w:rsidRPr="004769D5" w14:paraId="3B5F920D" w14:textId="77777777" w:rsidTr="006A66E2">
        <w:trPr>
          <w:trHeight w:val="825"/>
          <w:jc w:val="center"/>
        </w:trPr>
        <w:tc>
          <w:tcPr>
            <w:tcW w:w="2186" w:type="dxa"/>
          </w:tcPr>
          <w:p w14:paraId="56CFC5BF" w14:textId="3CFB7691" w:rsidR="006A66E2" w:rsidRPr="0027220B" w:rsidRDefault="00E343ED" w:rsidP="0094778C">
            <w:pPr>
              <w:rPr>
                <w:rFonts w:ascii="Arial" w:hAnsi="Arial" w:cs="Arial"/>
                <w:sz w:val="20"/>
                <w:szCs w:val="20"/>
              </w:rPr>
            </w:pPr>
            <w:r w:rsidRPr="00E343ED">
              <w:rPr>
                <w:rFonts w:ascii="Arial" w:hAnsi="Arial" w:cs="Arial"/>
                <w:sz w:val="20"/>
                <w:szCs w:val="20"/>
              </w:rPr>
              <w:t xml:space="preserve">CMS Child Core Set: </w:t>
            </w:r>
            <w:r w:rsidR="006A66E2" w:rsidRPr="0027220B">
              <w:rPr>
                <w:rFonts w:ascii="Arial" w:hAnsi="Arial" w:cs="Arial"/>
                <w:sz w:val="20"/>
                <w:szCs w:val="20"/>
              </w:rPr>
              <w:t>Sealant Receipt o</w:t>
            </w:r>
            <w:r w:rsidR="00151B66">
              <w:rPr>
                <w:rFonts w:ascii="Arial" w:hAnsi="Arial" w:cs="Arial"/>
                <w:sz w:val="20"/>
                <w:szCs w:val="20"/>
              </w:rPr>
              <w:t>n</w:t>
            </w:r>
            <w:r w:rsidR="006A66E2" w:rsidRPr="0027220B">
              <w:rPr>
                <w:rFonts w:ascii="Arial" w:hAnsi="Arial" w:cs="Arial"/>
                <w:sz w:val="20"/>
                <w:szCs w:val="20"/>
              </w:rPr>
              <w:t xml:space="preserve"> Permanent 1</w:t>
            </w:r>
            <w:r w:rsidR="006A66E2" w:rsidRPr="0027220B">
              <w:rPr>
                <w:rFonts w:ascii="Arial" w:hAnsi="Arial" w:cs="Arial"/>
                <w:sz w:val="20"/>
                <w:szCs w:val="20"/>
                <w:vertAlign w:val="superscript"/>
              </w:rPr>
              <w:t>st</w:t>
            </w:r>
            <w:r w:rsidR="006A66E2" w:rsidRPr="0027220B">
              <w:rPr>
                <w:rFonts w:ascii="Arial" w:hAnsi="Arial" w:cs="Arial"/>
                <w:sz w:val="20"/>
                <w:szCs w:val="20"/>
              </w:rPr>
              <w:t xml:space="preserve"> Molars</w:t>
            </w:r>
            <w:r>
              <w:rPr>
                <w:rFonts w:ascii="Arial" w:hAnsi="Arial" w:cs="Arial"/>
                <w:sz w:val="20"/>
                <w:szCs w:val="20"/>
              </w:rPr>
              <w:t xml:space="preserve"> – at least one </w:t>
            </w:r>
          </w:p>
        </w:tc>
        <w:tc>
          <w:tcPr>
            <w:tcW w:w="1265" w:type="dxa"/>
          </w:tcPr>
          <w:p w14:paraId="725773DB" w14:textId="4859C1D3" w:rsidR="006A66E2" w:rsidRPr="0027220B" w:rsidRDefault="0042001A" w:rsidP="0094778C">
            <w:pPr>
              <w:rPr>
                <w:rFonts w:ascii="Arial" w:hAnsi="Arial" w:cs="Arial"/>
                <w:sz w:val="20"/>
                <w:szCs w:val="20"/>
              </w:rPr>
            </w:pPr>
            <w:r w:rsidRPr="0042001A">
              <w:rPr>
                <w:rFonts w:ascii="Arial" w:hAnsi="Arial" w:cs="Arial"/>
                <w:sz w:val="20"/>
                <w:szCs w:val="20"/>
              </w:rPr>
              <w:t>1/1/202</w:t>
            </w:r>
            <w:r w:rsidR="00E343ED">
              <w:rPr>
                <w:rFonts w:ascii="Arial" w:hAnsi="Arial" w:cs="Arial"/>
                <w:sz w:val="20"/>
                <w:szCs w:val="20"/>
              </w:rPr>
              <w:t>4</w:t>
            </w:r>
            <w:r w:rsidRPr="0042001A">
              <w:rPr>
                <w:rFonts w:ascii="Arial" w:hAnsi="Arial" w:cs="Arial"/>
                <w:sz w:val="20"/>
                <w:szCs w:val="20"/>
              </w:rPr>
              <w:t>-12/31/202</w:t>
            </w:r>
            <w:r w:rsidR="00E343ED">
              <w:rPr>
                <w:rFonts w:ascii="Arial" w:hAnsi="Arial" w:cs="Arial"/>
                <w:sz w:val="20"/>
                <w:szCs w:val="20"/>
              </w:rPr>
              <w:t>4</w:t>
            </w:r>
          </w:p>
        </w:tc>
        <w:tc>
          <w:tcPr>
            <w:tcW w:w="1416" w:type="dxa"/>
          </w:tcPr>
          <w:p w14:paraId="2DEAD3FD" w14:textId="55713051" w:rsidR="006A66E2" w:rsidRPr="0027220B" w:rsidRDefault="006A66E2" w:rsidP="0094778C">
            <w:pPr>
              <w:rPr>
                <w:rFonts w:ascii="Arial" w:hAnsi="Arial" w:cs="Arial"/>
                <w:sz w:val="20"/>
                <w:szCs w:val="20"/>
              </w:rPr>
            </w:pPr>
            <w:r w:rsidRPr="0027220B">
              <w:rPr>
                <w:rFonts w:ascii="Arial" w:hAnsi="Arial" w:cs="Arial"/>
                <w:sz w:val="20"/>
                <w:szCs w:val="20"/>
              </w:rPr>
              <w:t>60%</w:t>
            </w:r>
          </w:p>
        </w:tc>
        <w:tc>
          <w:tcPr>
            <w:tcW w:w="4463" w:type="dxa"/>
          </w:tcPr>
          <w:p w14:paraId="5AC7BB0C" w14:textId="366DA54D" w:rsidR="006A66E2" w:rsidRPr="0027220B" w:rsidRDefault="006A66E2" w:rsidP="0094778C">
            <w:pPr>
              <w:rPr>
                <w:rFonts w:ascii="Arial" w:hAnsi="Arial" w:cs="Arial"/>
                <w:sz w:val="20"/>
                <w:szCs w:val="20"/>
              </w:rPr>
            </w:pPr>
            <w:r w:rsidRPr="0027220B">
              <w:rPr>
                <w:rFonts w:ascii="Arial" w:hAnsi="Arial" w:cs="Arial"/>
                <w:sz w:val="20"/>
                <w:szCs w:val="20"/>
              </w:rPr>
              <w:t>Percentage of enrolled children who have ever received sealants on permanent first molar teeth: (1) at least one sealant</w:t>
            </w:r>
          </w:p>
        </w:tc>
      </w:tr>
      <w:tr w:rsidR="006A66E2" w:rsidRPr="004769D5" w14:paraId="014D8F3A" w14:textId="77777777" w:rsidTr="006A66E2">
        <w:trPr>
          <w:jc w:val="center"/>
        </w:trPr>
        <w:tc>
          <w:tcPr>
            <w:tcW w:w="2186" w:type="dxa"/>
          </w:tcPr>
          <w:p w14:paraId="5C72DCA1" w14:textId="16006674" w:rsidR="006A66E2" w:rsidRPr="0027220B" w:rsidRDefault="00E343ED" w:rsidP="0094778C">
            <w:pPr>
              <w:rPr>
                <w:rFonts w:ascii="Arial" w:hAnsi="Arial" w:cs="Arial"/>
                <w:sz w:val="20"/>
                <w:szCs w:val="20"/>
              </w:rPr>
            </w:pPr>
            <w:r w:rsidRPr="00E343ED">
              <w:rPr>
                <w:rFonts w:ascii="Arial" w:hAnsi="Arial" w:cs="Arial"/>
                <w:sz w:val="20"/>
                <w:szCs w:val="20"/>
              </w:rPr>
              <w:t xml:space="preserve">CMS Child Core Set: </w:t>
            </w:r>
            <w:r w:rsidR="006A66E2" w:rsidRPr="0027220B">
              <w:rPr>
                <w:rFonts w:ascii="Arial" w:hAnsi="Arial" w:cs="Arial"/>
                <w:sz w:val="20"/>
                <w:szCs w:val="20"/>
              </w:rPr>
              <w:t>Topical Fluoride for Children</w:t>
            </w:r>
            <w:r w:rsidR="00151B66">
              <w:rPr>
                <w:rFonts w:ascii="Arial" w:hAnsi="Arial" w:cs="Arial"/>
                <w:sz w:val="20"/>
                <w:szCs w:val="20"/>
              </w:rPr>
              <w:t xml:space="preserve"> </w:t>
            </w:r>
            <w:r w:rsidR="006A66E2" w:rsidRPr="0027220B">
              <w:rPr>
                <w:rFonts w:ascii="Arial" w:hAnsi="Arial" w:cs="Arial"/>
                <w:sz w:val="20"/>
                <w:szCs w:val="20"/>
              </w:rPr>
              <w:t>(Total)</w:t>
            </w:r>
          </w:p>
        </w:tc>
        <w:tc>
          <w:tcPr>
            <w:tcW w:w="1265" w:type="dxa"/>
          </w:tcPr>
          <w:p w14:paraId="6A14F1CA" w14:textId="6E628964" w:rsidR="006A66E2" w:rsidRPr="0027220B" w:rsidRDefault="0042001A" w:rsidP="0094778C">
            <w:pPr>
              <w:rPr>
                <w:rFonts w:ascii="Arial" w:hAnsi="Arial" w:cs="Arial"/>
                <w:sz w:val="20"/>
                <w:szCs w:val="20"/>
              </w:rPr>
            </w:pPr>
            <w:r w:rsidRPr="0042001A">
              <w:rPr>
                <w:rFonts w:ascii="Arial" w:hAnsi="Arial" w:cs="Arial"/>
                <w:sz w:val="20"/>
                <w:szCs w:val="20"/>
              </w:rPr>
              <w:t>1/1/202</w:t>
            </w:r>
            <w:r w:rsidR="00E343ED">
              <w:rPr>
                <w:rFonts w:ascii="Arial" w:hAnsi="Arial" w:cs="Arial"/>
                <w:sz w:val="20"/>
                <w:szCs w:val="20"/>
              </w:rPr>
              <w:t>4</w:t>
            </w:r>
            <w:r w:rsidRPr="0042001A">
              <w:rPr>
                <w:rFonts w:ascii="Arial" w:hAnsi="Arial" w:cs="Arial"/>
                <w:sz w:val="20"/>
                <w:szCs w:val="20"/>
              </w:rPr>
              <w:t>-12/31/202</w:t>
            </w:r>
            <w:r w:rsidR="00E343ED">
              <w:rPr>
                <w:rFonts w:ascii="Arial" w:hAnsi="Arial" w:cs="Arial"/>
                <w:sz w:val="20"/>
                <w:szCs w:val="20"/>
              </w:rPr>
              <w:t>4</w:t>
            </w:r>
          </w:p>
        </w:tc>
        <w:tc>
          <w:tcPr>
            <w:tcW w:w="1416" w:type="dxa"/>
          </w:tcPr>
          <w:p w14:paraId="7E1ED514" w14:textId="20048FFF" w:rsidR="006A66E2" w:rsidRPr="0027220B" w:rsidRDefault="006A66E2" w:rsidP="0094778C">
            <w:pPr>
              <w:rPr>
                <w:rFonts w:ascii="Arial" w:hAnsi="Arial" w:cs="Arial"/>
                <w:sz w:val="20"/>
                <w:szCs w:val="20"/>
              </w:rPr>
            </w:pPr>
            <w:r w:rsidRPr="0027220B">
              <w:rPr>
                <w:rFonts w:ascii="Arial" w:hAnsi="Arial" w:cs="Arial"/>
                <w:sz w:val="20"/>
                <w:szCs w:val="20"/>
              </w:rPr>
              <w:t>65%</w:t>
            </w:r>
          </w:p>
        </w:tc>
        <w:tc>
          <w:tcPr>
            <w:tcW w:w="4463" w:type="dxa"/>
          </w:tcPr>
          <w:p w14:paraId="7FE14CD5" w14:textId="553DB624" w:rsidR="006A66E2" w:rsidRPr="0027220B" w:rsidRDefault="006A66E2" w:rsidP="0094778C">
            <w:pPr>
              <w:rPr>
                <w:rFonts w:ascii="Arial" w:hAnsi="Arial" w:cs="Arial"/>
                <w:sz w:val="20"/>
                <w:szCs w:val="20"/>
              </w:rPr>
            </w:pPr>
            <w:r w:rsidRPr="0027220B">
              <w:rPr>
                <w:rFonts w:ascii="Arial" w:hAnsi="Arial" w:cs="Arial"/>
                <w:sz w:val="20"/>
                <w:szCs w:val="20"/>
              </w:rPr>
              <w:t>Percentage of children aged 1-21 years who received at least 2 topical fluoride applications within the reporting year</w:t>
            </w:r>
          </w:p>
        </w:tc>
      </w:tr>
    </w:tbl>
    <w:p w14:paraId="1FE516F5" w14:textId="77777777" w:rsidR="00287A8D" w:rsidRDefault="00287A8D" w:rsidP="00287A8D">
      <w:pPr>
        <w:spacing w:after="0"/>
        <w:jc w:val="both"/>
        <w:rPr>
          <w:rFonts w:ascii="Arial" w:hAnsi="Arial" w:cs="Arial"/>
        </w:rPr>
      </w:pPr>
      <w:r>
        <w:rPr>
          <w:rFonts w:ascii="Arial" w:hAnsi="Arial" w:cs="Arial"/>
          <w:b/>
        </w:rPr>
        <w:t xml:space="preserve"> </w:t>
      </w:r>
    </w:p>
    <w:bookmarkEnd w:id="0"/>
    <w:p w14:paraId="0224C356" w14:textId="77777777" w:rsidR="00D91D68" w:rsidRDefault="00D91D68" w:rsidP="00D91D68">
      <w:pPr>
        <w:jc w:val="both"/>
        <w:rPr>
          <w:rFonts w:ascii="Arial" w:hAnsi="Arial" w:cs="Arial"/>
          <w:b/>
          <w:u w:val="single"/>
        </w:rPr>
      </w:pPr>
      <w:r>
        <w:rPr>
          <w:rFonts w:ascii="Arial" w:hAnsi="Arial" w:cs="Arial"/>
          <w:b/>
          <w:u w:val="single"/>
        </w:rPr>
        <w:lastRenderedPageBreak/>
        <w:t>How are Payments Made?</w:t>
      </w:r>
    </w:p>
    <w:p w14:paraId="634F572F" w14:textId="3FB7C0F5" w:rsidR="00F33B86" w:rsidRDefault="00D91D68" w:rsidP="00F33B86">
      <w:pPr>
        <w:jc w:val="both"/>
        <w:rPr>
          <w:rFonts w:ascii="Arial" w:hAnsi="Arial" w:cs="Arial"/>
        </w:rPr>
      </w:pPr>
      <w:r>
        <w:rPr>
          <w:rFonts w:ascii="Arial" w:hAnsi="Arial" w:cs="Arial"/>
        </w:rPr>
        <w:t xml:space="preserve">Beginning with </w:t>
      </w:r>
      <w:r w:rsidR="00E1420F">
        <w:rPr>
          <w:rFonts w:ascii="Arial" w:hAnsi="Arial" w:cs="Arial"/>
        </w:rPr>
        <w:t xml:space="preserve">dates of service </w:t>
      </w:r>
      <w:r w:rsidR="008A44F5" w:rsidRPr="00151B66">
        <w:rPr>
          <w:rFonts w:ascii="Arial" w:hAnsi="Arial" w:cs="Arial"/>
          <w:iCs/>
        </w:rPr>
        <w:t>October 1, 202</w:t>
      </w:r>
      <w:r w:rsidR="00E343ED" w:rsidRPr="00151B66">
        <w:rPr>
          <w:rFonts w:ascii="Arial" w:hAnsi="Arial" w:cs="Arial"/>
          <w:iCs/>
        </w:rPr>
        <w:t>5</w:t>
      </w:r>
      <w:r w:rsidR="008A44F5" w:rsidRPr="00151B66">
        <w:rPr>
          <w:rFonts w:ascii="Arial" w:hAnsi="Arial" w:cs="Arial"/>
          <w:iCs/>
        </w:rPr>
        <w:t xml:space="preserve"> – September 30, 202</w:t>
      </w:r>
      <w:r w:rsidR="00E343ED" w:rsidRPr="00151B66">
        <w:rPr>
          <w:rFonts w:ascii="Arial" w:hAnsi="Arial" w:cs="Arial"/>
          <w:iCs/>
        </w:rPr>
        <w:t>6</w:t>
      </w:r>
      <w:r w:rsidRPr="00151B66">
        <w:rPr>
          <w:rFonts w:ascii="Arial" w:hAnsi="Arial" w:cs="Arial"/>
          <w:iCs/>
        </w:rPr>
        <w:t>,</w:t>
      </w:r>
      <w:r>
        <w:rPr>
          <w:rFonts w:ascii="Arial" w:hAnsi="Arial" w:cs="Arial"/>
        </w:rPr>
        <w:t xml:space="preserve"> </w:t>
      </w:r>
      <w:r w:rsidR="00F33B86">
        <w:rPr>
          <w:rFonts w:ascii="Arial" w:hAnsi="Arial" w:cs="Arial"/>
        </w:rPr>
        <w:t xml:space="preserve">payments to </w:t>
      </w:r>
      <w:r w:rsidR="00594A91">
        <w:rPr>
          <w:rFonts w:ascii="Arial" w:hAnsi="Arial" w:cs="Arial"/>
        </w:rPr>
        <w:t>DPIP-Qualified Providers</w:t>
      </w:r>
      <w:r w:rsidR="00F33B86">
        <w:rPr>
          <w:rFonts w:ascii="Arial" w:hAnsi="Arial" w:cs="Arial"/>
        </w:rPr>
        <w:t xml:space="preserve"> for</w:t>
      </w:r>
      <w:r w:rsidR="008A44F5">
        <w:rPr>
          <w:rFonts w:ascii="Arial" w:hAnsi="Arial" w:cs="Arial"/>
        </w:rPr>
        <w:t xml:space="preserve"> </w:t>
      </w:r>
      <w:r w:rsidR="00594A91">
        <w:rPr>
          <w:rFonts w:ascii="Arial" w:hAnsi="Arial" w:cs="Arial"/>
        </w:rPr>
        <w:t>Included Services</w:t>
      </w:r>
      <w:r w:rsidR="0042001A">
        <w:rPr>
          <w:rFonts w:ascii="Arial" w:hAnsi="Arial" w:cs="Arial"/>
        </w:rPr>
        <w:t>,</w:t>
      </w:r>
      <w:r w:rsidR="00594A91">
        <w:rPr>
          <w:rFonts w:ascii="Arial" w:hAnsi="Arial" w:cs="Arial"/>
        </w:rPr>
        <w:t xml:space="preserve"> </w:t>
      </w:r>
      <w:r w:rsidR="0042001A" w:rsidRPr="0042001A">
        <w:rPr>
          <w:rFonts w:ascii="Arial" w:hAnsi="Arial" w:cs="Arial"/>
        </w:rPr>
        <w:t>which includes ten preventive and diagnostic dental procedure codes,</w:t>
      </w:r>
      <w:r w:rsidR="0042001A">
        <w:rPr>
          <w:rFonts w:ascii="Arial" w:hAnsi="Arial" w:cs="Arial"/>
        </w:rPr>
        <w:t xml:space="preserve"> must</w:t>
      </w:r>
      <w:r w:rsidR="00F33B86">
        <w:rPr>
          <w:rFonts w:ascii="Arial" w:hAnsi="Arial" w:cs="Arial"/>
        </w:rPr>
        <w:t xml:space="preserve"> </w:t>
      </w:r>
      <w:r w:rsidR="008A44F5" w:rsidRPr="008A44F5">
        <w:rPr>
          <w:rFonts w:ascii="Arial" w:hAnsi="Arial" w:cs="Arial"/>
        </w:rPr>
        <w:t xml:space="preserve">be </w:t>
      </w:r>
      <w:r w:rsidR="00152853">
        <w:rPr>
          <w:rFonts w:ascii="Arial" w:hAnsi="Arial" w:cs="Arial"/>
        </w:rPr>
        <w:t>equal to</w:t>
      </w:r>
      <w:r w:rsidR="008A44F5" w:rsidRPr="008A44F5">
        <w:rPr>
          <w:rFonts w:ascii="Arial" w:hAnsi="Arial" w:cs="Arial"/>
        </w:rPr>
        <w:t xml:space="preserve"> 140% of the</w:t>
      </w:r>
      <w:r w:rsidR="00152853">
        <w:rPr>
          <w:rFonts w:ascii="Arial" w:hAnsi="Arial" w:cs="Arial"/>
        </w:rPr>
        <w:t xml:space="preserve"> Florida</w:t>
      </w:r>
      <w:r w:rsidR="008A44F5" w:rsidRPr="008A44F5">
        <w:rPr>
          <w:rFonts w:ascii="Arial" w:hAnsi="Arial" w:cs="Arial"/>
        </w:rPr>
        <w:t xml:space="preserve"> Medicaid </w:t>
      </w:r>
      <w:r w:rsidR="008A44F5">
        <w:rPr>
          <w:rFonts w:ascii="Arial" w:hAnsi="Arial" w:cs="Arial"/>
        </w:rPr>
        <w:t>Fee-for-Service (FFS)</w:t>
      </w:r>
      <w:r w:rsidR="008A44F5" w:rsidRPr="008A44F5">
        <w:rPr>
          <w:rFonts w:ascii="Arial" w:hAnsi="Arial" w:cs="Arial"/>
        </w:rPr>
        <w:t xml:space="preserve"> rate that is in effect as of </w:t>
      </w:r>
      <w:r w:rsidR="008A44F5" w:rsidRPr="00151B66">
        <w:rPr>
          <w:rFonts w:ascii="Arial" w:hAnsi="Arial" w:cs="Arial"/>
        </w:rPr>
        <w:t>October 1, 202</w:t>
      </w:r>
      <w:r w:rsidR="00E343ED" w:rsidRPr="00151B66">
        <w:rPr>
          <w:rFonts w:ascii="Arial" w:hAnsi="Arial" w:cs="Arial"/>
        </w:rPr>
        <w:t>5</w:t>
      </w:r>
      <w:r w:rsidR="00F30284" w:rsidRPr="00151B66">
        <w:rPr>
          <w:rFonts w:ascii="Arial" w:hAnsi="Arial" w:cs="Arial"/>
        </w:rPr>
        <w:t>,</w:t>
      </w:r>
      <w:r w:rsidR="00F30284" w:rsidRPr="00151B66">
        <w:rPr>
          <w:rFonts w:ascii="Arial" w:hAnsi="Arial" w:cs="Arial"/>
          <w:i/>
          <w:iCs/>
        </w:rPr>
        <w:t xml:space="preserve"> </w:t>
      </w:r>
      <w:r w:rsidR="00F30284" w:rsidRPr="00F30284">
        <w:rPr>
          <w:rFonts w:ascii="Arial" w:hAnsi="Arial" w:cs="Arial"/>
        </w:rPr>
        <w:t>as established by the Agency</w:t>
      </w:r>
      <w:r w:rsidR="008A44F5">
        <w:rPr>
          <w:rFonts w:ascii="Arial" w:hAnsi="Arial" w:cs="Arial"/>
        </w:rPr>
        <w:t>.</w:t>
      </w:r>
    </w:p>
    <w:p w14:paraId="319A1639" w14:textId="51BA2DE9" w:rsidR="00594A91" w:rsidRDefault="00594A91" w:rsidP="00594A91">
      <w:pPr>
        <w:jc w:val="both"/>
        <w:rPr>
          <w:rFonts w:ascii="Arial" w:hAnsi="Arial" w:cs="Arial"/>
        </w:rPr>
      </w:pPr>
      <w:r w:rsidRPr="009C370C">
        <w:rPr>
          <w:rFonts w:ascii="Arial" w:hAnsi="Arial" w:cs="Arial"/>
          <w:b/>
        </w:rPr>
        <w:t>NOTE</w:t>
      </w:r>
      <w:r>
        <w:rPr>
          <w:rFonts w:ascii="Arial" w:hAnsi="Arial" w:cs="Arial"/>
        </w:rPr>
        <w:t>- If your current payment rate already equals or exceeds the DPIP fee schedule for included services, your current payment rate will not change.</w:t>
      </w:r>
    </w:p>
    <w:p w14:paraId="59029BDC" w14:textId="47D6A3DA" w:rsidR="00875B84" w:rsidRPr="00F250A1" w:rsidRDefault="00875B84" w:rsidP="00594A91">
      <w:pPr>
        <w:jc w:val="both"/>
        <w:rPr>
          <w:rFonts w:ascii="Arial" w:hAnsi="Arial" w:cs="Arial"/>
        </w:rPr>
      </w:pPr>
      <w:r w:rsidRPr="00875B84">
        <w:rPr>
          <w:rFonts w:ascii="Arial" w:hAnsi="Arial" w:cs="Arial"/>
        </w:rPr>
        <w:t>[DENTAL PLAN] will be providing you with the details regarding any amendments to your provider agreement that need to be made as well as information on how the enhanced payments will be made.</w:t>
      </w:r>
    </w:p>
    <w:p w14:paraId="024E53BF" w14:textId="2F72C3F4" w:rsidR="008A44F5" w:rsidRDefault="00643033" w:rsidP="00F33B86">
      <w:pPr>
        <w:jc w:val="both"/>
        <w:rPr>
          <w:rFonts w:ascii="Arial" w:hAnsi="Arial" w:cs="Arial"/>
          <w:b/>
          <w:bCs/>
          <w:u w:val="single"/>
        </w:rPr>
      </w:pPr>
      <w:r w:rsidRPr="00643033">
        <w:rPr>
          <w:rFonts w:ascii="Arial" w:hAnsi="Arial" w:cs="Arial"/>
          <w:b/>
          <w:bCs/>
          <w:u w:val="single"/>
        </w:rPr>
        <w:t>What are the Included Services?</w:t>
      </w:r>
    </w:p>
    <w:p w14:paraId="2F49F7FF" w14:textId="41854474" w:rsidR="00643033" w:rsidRDefault="00643033" w:rsidP="00643033">
      <w:pPr>
        <w:rPr>
          <w:rFonts w:ascii="Arial" w:hAnsi="Arial" w:cs="Arial"/>
        </w:rPr>
      </w:pPr>
      <w:r w:rsidRPr="00892C38">
        <w:rPr>
          <w:rFonts w:ascii="Arial" w:hAnsi="Arial" w:cs="Arial"/>
        </w:rPr>
        <w:t xml:space="preserve">Included </w:t>
      </w:r>
      <w:r>
        <w:rPr>
          <w:rFonts w:ascii="Arial" w:hAnsi="Arial" w:cs="Arial"/>
        </w:rPr>
        <w:t>DPIP services</w:t>
      </w:r>
      <w:r w:rsidRPr="00892C38">
        <w:rPr>
          <w:rFonts w:ascii="Arial" w:hAnsi="Arial" w:cs="Arial"/>
        </w:rPr>
        <w:t xml:space="preserve"> include covered dental services</w:t>
      </w:r>
      <w:r>
        <w:rPr>
          <w:rFonts w:ascii="Arial" w:hAnsi="Arial" w:cs="Arial"/>
        </w:rPr>
        <w:t xml:space="preserve"> </w:t>
      </w:r>
      <w:r w:rsidRPr="00547FF2">
        <w:rPr>
          <w:rFonts w:ascii="Arial" w:hAnsi="Arial" w:cs="Arial"/>
        </w:rPr>
        <w:t xml:space="preserve">rendered to </w:t>
      </w:r>
      <w:r>
        <w:rPr>
          <w:rFonts w:ascii="Arial" w:hAnsi="Arial" w:cs="Arial"/>
        </w:rPr>
        <w:t>recipients</w:t>
      </w:r>
      <w:r w:rsidRPr="00547FF2">
        <w:rPr>
          <w:rFonts w:ascii="Arial" w:hAnsi="Arial" w:cs="Arial"/>
        </w:rPr>
        <w:t xml:space="preserve"> under 21 years of age</w:t>
      </w:r>
      <w:r>
        <w:rPr>
          <w:rFonts w:ascii="Arial" w:hAnsi="Arial" w:cs="Arial"/>
        </w:rPr>
        <w:t xml:space="preserve">, </w:t>
      </w:r>
      <w:r w:rsidRPr="00892C38">
        <w:rPr>
          <w:rFonts w:ascii="Arial" w:hAnsi="Arial" w:cs="Arial"/>
        </w:rPr>
        <w:t xml:space="preserve">utilizing the following </w:t>
      </w:r>
      <w:r>
        <w:rPr>
          <w:rFonts w:ascii="Arial" w:hAnsi="Arial" w:cs="Arial"/>
        </w:rPr>
        <w:t>prevent</w:t>
      </w:r>
      <w:r w:rsidR="0075233B">
        <w:rPr>
          <w:rFonts w:ascii="Arial" w:hAnsi="Arial" w:cs="Arial"/>
        </w:rPr>
        <w:t>ive</w:t>
      </w:r>
      <w:r>
        <w:rPr>
          <w:rFonts w:ascii="Arial" w:hAnsi="Arial" w:cs="Arial"/>
        </w:rPr>
        <w:t xml:space="preserve"> and diagnostic </w:t>
      </w:r>
      <w:r w:rsidRPr="00892C38">
        <w:rPr>
          <w:rFonts w:ascii="Arial" w:hAnsi="Arial" w:cs="Arial"/>
        </w:rPr>
        <w:t>dental procedure codes</w:t>
      </w:r>
      <w:r>
        <w:rPr>
          <w:rFonts w:ascii="Arial" w:hAnsi="Arial" w:cs="Arial"/>
        </w:rPr>
        <w:t xml:space="preserve">. </w:t>
      </w:r>
    </w:p>
    <w:tbl>
      <w:tblPr>
        <w:tblStyle w:val="TableGrid"/>
        <w:tblW w:w="9435"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00"/>
        <w:gridCol w:w="7235"/>
      </w:tblGrid>
      <w:tr w:rsidR="00EE05C7" w:rsidRPr="00836396" w14:paraId="31E5CC36" w14:textId="77777777" w:rsidTr="00EE05C7">
        <w:trPr>
          <w:trHeight w:val="258"/>
          <w:jc w:val="center"/>
        </w:trPr>
        <w:tc>
          <w:tcPr>
            <w:tcW w:w="2200" w:type="dxa"/>
          </w:tcPr>
          <w:p w14:paraId="43BBB67F" w14:textId="77777777" w:rsidR="00EE05C7" w:rsidRPr="00594A91" w:rsidRDefault="00EE05C7" w:rsidP="0094778C">
            <w:pPr>
              <w:rPr>
                <w:rFonts w:ascii="Arial" w:hAnsi="Arial" w:cs="Arial"/>
                <w:b/>
                <w:bCs/>
              </w:rPr>
            </w:pPr>
            <w:r w:rsidRPr="00594A91">
              <w:rPr>
                <w:rFonts w:ascii="Arial" w:hAnsi="Arial" w:cs="Arial"/>
                <w:b/>
                <w:bCs/>
              </w:rPr>
              <w:t>Procedure Code</w:t>
            </w:r>
          </w:p>
        </w:tc>
        <w:tc>
          <w:tcPr>
            <w:tcW w:w="7235" w:type="dxa"/>
          </w:tcPr>
          <w:p w14:paraId="1354FD35" w14:textId="2AFAB40E" w:rsidR="00EE05C7" w:rsidRPr="00594A91" w:rsidRDefault="00EE05C7" w:rsidP="0094778C">
            <w:pPr>
              <w:rPr>
                <w:rFonts w:ascii="Arial" w:hAnsi="Arial" w:cs="Arial"/>
                <w:b/>
                <w:bCs/>
              </w:rPr>
            </w:pPr>
            <w:r>
              <w:rPr>
                <w:rFonts w:ascii="Arial" w:hAnsi="Arial" w:cs="Arial"/>
                <w:b/>
                <w:bCs/>
              </w:rPr>
              <w:t>Description</w:t>
            </w:r>
          </w:p>
        </w:tc>
      </w:tr>
      <w:tr w:rsidR="00EE05C7" w:rsidRPr="00836396" w14:paraId="09FD61F3" w14:textId="77777777" w:rsidTr="00EE05C7">
        <w:trPr>
          <w:trHeight w:val="333"/>
          <w:jc w:val="center"/>
        </w:trPr>
        <w:tc>
          <w:tcPr>
            <w:tcW w:w="2200" w:type="dxa"/>
          </w:tcPr>
          <w:p w14:paraId="57D7F3FB"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D1330</w:t>
            </w:r>
          </w:p>
        </w:tc>
        <w:tc>
          <w:tcPr>
            <w:tcW w:w="7235" w:type="dxa"/>
          </w:tcPr>
          <w:p w14:paraId="12B7BF26" w14:textId="77777777" w:rsidR="00EE05C7" w:rsidRPr="00594A91" w:rsidRDefault="00EE05C7" w:rsidP="0094778C">
            <w:pPr>
              <w:rPr>
                <w:rFonts w:ascii="Arial" w:hAnsi="Arial" w:cs="Arial"/>
                <w:sz w:val="20"/>
                <w:szCs w:val="20"/>
              </w:rPr>
            </w:pPr>
            <w:r w:rsidRPr="00594A91">
              <w:rPr>
                <w:rFonts w:ascii="Arial" w:hAnsi="Arial" w:cs="Arial"/>
                <w:sz w:val="20"/>
                <w:szCs w:val="20"/>
              </w:rPr>
              <w:t>Oral Hygiene Instruction</w:t>
            </w:r>
          </w:p>
        </w:tc>
      </w:tr>
      <w:tr w:rsidR="00EE05C7" w:rsidRPr="00836396" w14:paraId="017EB927" w14:textId="77777777" w:rsidTr="00EE05C7">
        <w:trPr>
          <w:trHeight w:val="282"/>
          <w:jc w:val="center"/>
        </w:trPr>
        <w:tc>
          <w:tcPr>
            <w:tcW w:w="2200" w:type="dxa"/>
          </w:tcPr>
          <w:p w14:paraId="58A354C2"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D1120</w:t>
            </w:r>
          </w:p>
        </w:tc>
        <w:tc>
          <w:tcPr>
            <w:tcW w:w="7235" w:type="dxa"/>
          </w:tcPr>
          <w:p w14:paraId="0CF77A22" w14:textId="77777777" w:rsidR="00EE05C7" w:rsidRPr="00594A91" w:rsidRDefault="00EE05C7" w:rsidP="0094778C">
            <w:pPr>
              <w:rPr>
                <w:rFonts w:ascii="Arial" w:hAnsi="Arial" w:cs="Arial"/>
                <w:sz w:val="20"/>
                <w:szCs w:val="20"/>
              </w:rPr>
            </w:pPr>
            <w:r w:rsidRPr="00594A91">
              <w:rPr>
                <w:rFonts w:ascii="Arial" w:hAnsi="Arial" w:cs="Arial"/>
                <w:sz w:val="20"/>
                <w:szCs w:val="20"/>
              </w:rPr>
              <w:t>Prophylaxis - Child</w:t>
            </w:r>
          </w:p>
        </w:tc>
      </w:tr>
      <w:tr w:rsidR="00EE05C7" w:rsidRPr="00836396" w14:paraId="5EACD08C" w14:textId="77777777" w:rsidTr="00EE05C7">
        <w:trPr>
          <w:trHeight w:val="282"/>
          <w:jc w:val="center"/>
        </w:trPr>
        <w:tc>
          <w:tcPr>
            <w:tcW w:w="2200" w:type="dxa"/>
          </w:tcPr>
          <w:p w14:paraId="7591BFBE"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D1208</w:t>
            </w:r>
          </w:p>
        </w:tc>
        <w:tc>
          <w:tcPr>
            <w:tcW w:w="7235" w:type="dxa"/>
          </w:tcPr>
          <w:p w14:paraId="7375CD2A" w14:textId="77777777" w:rsidR="00EE05C7" w:rsidRPr="00594A91" w:rsidRDefault="00EE05C7" w:rsidP="0094778C">
            <w:pPr>
              <w:rPr>
                <w:rFonts w:ascii="Arial" w:hAnsi="Arial" w:cs="Arial"/>
                <w:sz w:val="20"/>
                <w:szCs w:val="20"/>
              </w:rPr>
            </w:pPr>
            <w:r w:rsidRPr="00594A91">
              <w:rPr>
                <w:rFonts w:ascii="Arial" w:hAnsi="Arial" w:cs="Arial"/>
                <w:sz w:val="20"/>
                <w:szCs w:val="20"/>
              </w:rPr>
              <w:t>Topical application of fluoride – excluding varnish</w:t>
            </w:r>
          </w:p>
        </w:tc>
      </w:tr>
      <w:tr w:rsidR="00EE05C7" w:rsidRPr="00836396" w14:paraId="4840E1D3" w14:textId="77777777" w:rsidTr="00EE05C7">
        <w:trPr>
          <w:trHeight w:val="318"/>
          <w:jc w:val="center"/>
        </w:trPr>
        <w:tc>
          <w:tcPr>
            <w:tcW w:w="2200" w:type="dxa"/>
          </w:tcPr>
          <w:p w14:paraId="26C97303"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D1351</w:t>
            </w:r>
          </w:p>
        </w:tc>
        <w:tc>
          <w:tcPr>
            <w:tcW w:w="7235" w:type="dxa"/>
          </w:tcPr>
          <w:p w14:paraId="194E0000" w14:textId="77777777" w:rsidR="00EE05C7" w:rsidRPr="00594A91" w:rsidRDefault="00EE05C7" w:rsidP="0094778C">
            <w:pPr>
              <w:rPr>
                <w:rFonts w:ascii="Arial" w:hAnsi="Arial" w:cs="Arial"/>
                <w:sz w:val="20"/>
                <w:szCs w:val="20"/>
              </w:rPr>
            </w:pPr>
            <w:r w:rsidRPr="00594A91">
              <w:rPr>
                <w:rFonts w:ascii="Arial" w:hAnsi="Arial" w:cs="Arial"/>
                <w:sz w:val="20"/>
                <w:szCs w:val="20"/>
              </w:rPr>
              <w:t>Sealant – Per tooth</w:t>
            </w:r>
          </w:p>
        </w:tc>
      </w:tr>
      <w:tr w:rsidR="00EE05C7" w:rsidRPr="00836396" w14:paraId="33BD9146" w14:textId="77777777" w:rsidTr="00EE05C7">
        <w:trPr>
          <w:trHeight w:val="300"/>
          <w:jc w:val="center"/>
        </w:trPr>
        <w:tc>
          <w:tcPr>
            <w:tcW w:w="2200" w:type="dxa"/>
          </w:tcPr>
          <w:p w14:paraId="7C24394F"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D1206</w:t>
            </w:r>
          </w:p>
        </w:tc>
        <w:tc>
          <w:tcPr>
            <w:tcW w:w="7235" w:type="dxa"/>
          </w:tcPr>
          <w:p w14:paraId="14B78DDA" w14:textId="77777777" w:rsidR="00EE05C7" w:rsidRPr="00594A91" w:rsidRDefault="00EE05C7" w:rsidP="0094778C">
            <w:pPr>
              <w:rPr>
                <w:rFonts w:ascii="Arial" w:hAnsi="Arial" w:cs="Arial"/>
                <w:sz w:val="20"/>
                <w:szCs w:val="20"/>
              </w:rPr>
            </w:pPr>
            <w:r w:rsidRPr="00594A91">
              <w:rPr>
                <w:rFonts w:ascii="Arial" w:hAnsi="Arial" w:cs="Arial"/>
                <w:sz w:val="20"/>
                <w:szCs w:val="20"/>
              </w:rPr>
              <w:t>Topical application of fluoride varnish</w:t>
            </w:r>
          </w:p>
        </w:tc>
      </w:tr>
      <w:tr w:rsidR="00EE05C7" w:rsidRPr="00836396" w14:paraId="5EF028BA" w14:textId="77777777" w:rsidTr="00EE05C7">
        <w:trPr>
          <w:trHeight w:val="372"/>
          <w:jc w:val="center"/>
        </w:trPr>
        <w:tc>
          <w:tcPr>
            <w:tcW w:w="2200" w:type="dxa"/>
          </w:tcPr>
          <w:p w14:paraId="0A7AFE47"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D1999</w:t>
            </w:r>
          </w:p>
        </w:tc>
        <w:tc>
          <w:tcPr>
            <w:tcW w:w="7235" w:type="dxa"/>
          </w:tcPr>
          <w:p w14:paraId="2B79A716" w14:textId="3DB55B17" w:rsidR="00EE05C7" w:rsidRPr="00594A91" w:rsidRDefault="00EE05C7" w:rsidP="0094778C">
            <w:pPr>
              <w:rPr>
                <w:rFonts w:ascii="Arial" w:hAnsi="Arial" w:cs="Arial"/>
                <w:sz w:val="20"/>
                <w:szCs w:val="20"/>
              </w:rPr>
            </w:pPr>
            <w:r w:rsidRPr="00594A91">
              <w:rPr>
                <w:rFonts w:ascii="Arial" w:hAnsi="Arial" w:cs="Arial"/>
                <w:sz w:val="20"/>
                <w:szCs w:val="20"/>
              </w:rPr>
              <w:t>Unspecified preven</w:t>
            </w:r>
            <w:r w:rsidR="0075233B">
              <w:rPr>
                <w:rFonts w:ascii="Arial" w:hAnsi="Arial" w:cs="Arial"/>
                <w:sz w:val="20"/>
                <w:szCs w:val="20"/>
              </w:rPr>
              <w:t>tive</w:t>
            </w:r>
            <w:r w:rsidRPr="00594A91">
              <w:rPr>
                <w:rFonts w:ascii="Arial" w:hAnsi="Arial" w:cs="Arial"/>
                <w:sz w:val="20"/>
                <w:szCs w:val="20"/>
              </w:rPr>
              <w:t xml:space="preserve"> procedure, by report</w:t>
            </w:r>
          </w:p>
        </w:tc>
      </w:tr>
      <w:tr w:rsidR="00EE05C7" w:rsidRPr="00836396" w14:paraId="66F2C837" w14:textId="77777777" w:rsidTr="00EE05C7">
        <w:trPr>
          <w:trHeight w:val="345"/>
          <w:jc w:val="center"/>
        </w:trPr>
        <w:tc>
          <w:tcPr>
            <w:tcW w:w="2200" w:type="dxa"/>
          </w:tcPr>
          <w:p w14:paraId="3E574083"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D0120</w:t>
            </w:r>
          </w:p>
        </w:tc>
        <w:tc>
          <w:tcPr>
            <w:tcW w:w="7235" w:type="dxa"/>
          </w:tcPr>
          <w:p w14:paraId="3452AC5F" w14:textId="77777777" w:rsidR="00EE05C7" w:rsidRPr="00594A91" w:rsidRDefault="00EE05C7" w:rsidP="0094778C">
            <w:pPr>
              <w:rPr>
                <w:rFonts w:ascii="Arial" w:hAnsi="Arial" w:cs="Arial"/>
                <w:sz w:val="20"/>
                <w:szCs w:val="20"/>
              </w:rPr>
            </w:pPr>
            <w:r w:rsidRPr="00594A91">
              <w:rPr>
                <w:rFonts w:ascii="Arial" w:hAnsi="Arial" w:cs="Arial"/>
                <w:sz w:val="20"/>
                <w:szCs w:val="20"/>
              </w:rPr>
              <w:t>Periodic oral evaluation – established patient</w:t>
            </w:r>
          </w:p>
        </w:tc>
      </w:tr>
      <w:tr w:rsidR="00EE05C7" w:rsidRPr="00836396" w14:paraId="650BD6F1" w14:textId="77777777" w:rsidTr="00EE05C7">
        <w:trPr>
          <w:trHeight w:val="345"/>
          <w:jc w:val="center"/>
        </w:trPr>
        <w:tc>
          <w:tcPr>
            <w:tcW w:w="2200" w:type="dxa"/>
          </w:tcPr>
          <w:p w14:paraId="0AF7DBFF"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D0150</w:t>
            </w:r>
          </w:p>
        </w:tc>
        <w:tc>
          <w:tcPr>
            <w:tcW w:w="7235" w:type="dxa"/>
          </w:tcPr>
          <w:p w14:paraId="61BF7C55" w14:textId="77777777" w:rsidR="00EE05C7" w:rsidRPr="00594A91" w:rsidRDefault="00EE05C7" w:rsidP="0094778C">
            <w:pPr>
              <w:rPr>
                <w:rFonts w:ascii="Arial" w:hAnsi="Arial" w:cs="Arial"/>
                <w:sz w:val="20"/>
                <w:szCs w:val="20"/>
              </w:rPr>
            </w:pPr>
            <w:r w:rsidRPr="00594A91">
              <w:rPr>
                <w:rFonts w:ascii="Arial" w:hAnsi="Arial" w:cs="Arial"/>
                <w:sz w:val="20"/>
                <w:szCs w:val="20"/>
              </w:rPr>
              <w:t>Comprehensive oral evaluation – new or established patient</w:t>
            </w:r>
          </w:p>
        </w:tc>
      </w:tr>
      <w:tr w:rsidR="00EE05C7" w:rsidRPr="00836396" w14:paraId="7E7AB2CA" w14:textId="77777777" w:rsidTr="00EE05C7">
        <w:trPr>
          <w:trHeight w:val="273"/>
          <w:jc w:val="center"/>
        </w:trPr>
        <w:tc>
          <w:tcPr>
            <w:tcW w:w="2200" w:type="dxa"/>
          </w:tcPr>
          <w:p w14:paraId="1241B9E3" w14:textId="77777777" w:rsidR="00EE05C7" w:rsidRPr="00EE05C7" w:rsidRDefault="00EE05C7" w:rsidP="0094778C">
            <w:pPr>
              <w:tabs>
                <w:tab w:val="left" w:pos="1170"/>
              </w:tabs>
              <w:rPr>
                <w:rFonts w:ascii="Arial" w:hAnsi="Arial" w:cs="Arial"/>
                <w:b/>
                <w:bCs/>
                <w:sz w:val="20"/>
                <w:szCs w:val="20"/>
              </w:rPr>
            </w:pPr>
            <w:r w:rsidRPr="00EE05C7">
              <w:rPr>
                <w:rFonts w:ascii="Arial" w:hAnsi="Arial" w:cs="Arial"/>
                <w:b/>
                <w:bCs/>
                <w:sz w:val="20"/>
                <w:szCs w:val="20"/>
              </w:rPr>
              <w:t>D1354</w:t>
            </w:r>
            <w:r w:rsidRPr="00EE05C7">
              <w:rPr>
                <w:rFonts w:ascii="Arial" w:hAnsi="Arial" w:cs="Arial"/>
                <w:b/>
                <w:bCs/>
                <w:sz w:val="20"/>
                <w:szCs w:val="20"/>
              </w:rPr>
              <w:tab/>
            </w:r>
          </w:p>
        </w:tc>
        <w:tc>
          <w:tcPr>
            <w:tcW w:w="7235" w:type="dxa"/>
          </w:tcPr>
          <w:p w14:paraId="7E85073D" w14:textId="77777777" w:rsidR="00EE05C7" w:rsidRPr="00594A91" w:rsidRDefault="00EE05C7" w:rsidP="0094778C">
            <w:pPr>
              <w:rPr>
                <w:rFonts w:ascii="Arial" w:hAnsi="Arial" w:cs="Arial"/>
                <w:sz w:val="20"/>
                <w:szCs w:val="20"/>
              </w:rPr>
            </w:pPr>
            <w:r w:rsidRPr="00594A91">
              <w:rPr>
                <w:rFonts w:ascii="Arial" w:hAnsi="Arial" w:cs="Arial"/>
                <w:sz w:val="20"/>
                <w:szCs w:val="20"/>
              </w:rPr>
              <w:t>Interim caries arresting medicament application. Silver Diamine Fluoride</w:t>
            </w:r>
          </w:p>
        </w:tc>
      </w:tr>
      <w:tr w:rsidR="00EE05C7" w:rsidRPr="00836396" w14:paraId="749B495C" w14:textId="77777777" w:rsidTr="00EE05C7">
        <w:trPr>
          <w:trHeight w:val="595"/>
          <w:jc w:val="center"/>
        </w:trPr>
        <w:tc>
          <w:tcPr>
            <w:tcW w:w="2200" w:type="dxa"/>
          </w:tcPr>
          <w:p w14:paraId="4429FB59" w14:textId="77777777" w:rsidR="00EE05C7" w:rsidRPr="00EE05C7" w:rsidRDefault="00EE05C7" w:rsidP="0094778C">
            <w:pPr>
              <w:rPr>
                <w:rFonts w:ascii="Arial" w:hAnsi="Arial" w:cs="Arial"/>
                <w:b/>
                <w:bCs/>
                <w:sz w:val="20"/>
                <w:szCs w:val="20"/>
              </w:rPr>
            </w:pPr>
            <w:r w:rsidRPr="00EE05C7">
              <w:rPr>
                <w:rFonts w:ascii="Arial" w:hAnsi="Arial" w:cs="Arial"/>
                <w:b/>
                <w:bCs/>
                <w:sz w:val="20"/>
                <w:szCs w:val="20"/>
              </w:rPr>
              <w:t>D0145</w:t>
            </w:r>
          </w:p>
        </w:tc>
        <w:tc>
          <w:tcPr>
            <w:tcW w:w="7235" w:type="dxa"/>
          </w:tcPr>
          <w:p w14:paraId="199C6ADD" w14:textId="77777777" w:rsidR="00EE05C7" w:rsidRPr="00594A91" w:rsidRDefault="00EE05C7" w:rsidP="0094778C">
            <w:pPr>
              <w:rPr>
                <w:rFonts w:ascii="Arial" w:hAnsi="Arial" w:cs="Arial"/>
                <w:sz w:val="20"/>
                <w:szCs w:val="20"/>
              </w:rPr>
            </w:pPr>
            <w:r w:rsidRPr="00594A91">
              <w:rPr>
                <w:rFonts w:ascii="Arial" w:hAnsi="Arial" w:cs="Arial"/>
                <w:sz w:val="20"/>
                <w:szCs w:val="20"/>
              </w:rPr>
              <w:t>Oral evaluation for a patient under three years of age and counseling with a primary caregiver</w:t>
            </w:r>
          </w:p>
        </w:tc>
      </w:tr>
    </w:tbl>
    <w:p w14:paraId="60D43B42" w14:textId="48F24817" w:rsidR="00643033" w:rsidRDefault="00643033" w:rsidP="00F33B86">
      <w:pPr>
        <w:jc w:val="both"/>
        <w:rPr>
          <w:rFonts w:ascii="Arial" w:hAnsi="Arial" w:cs="Arial"/>
          <w:b/>
          <w:bCs/>
          <w:u w:val="single"/>
        </w:rPr>
      </w:pPr>
    </w:p>
    <w:p w14:paraId="754C7094" w14:textId="77777777" w:rsidR="00D91D68" w:rsidRDefault="00D91D68" w:rsidP="00D91D68">
      <w:pPr>
        <w:rPr>
          <w:rFonts w:ascii="Arial" w:hAnsi="Arial" w:cs="Arial"/>
          <w:b/>
          <w:u w:val="single"/>
        </w:rPr>
      </w:pPr>
      <w:r w:rsidRPr="00AB6365">
        <w:rPr>
          <w:rFonts w:ascii="Arial" w:hAnsi="Arial" w:cs="Arial"/>
          <w:b/>
          <w:u w:val="single"/>
        </w:rPr>
        <w:t>Monitor Your Progress</w:t>
      </w:r>
    </w:p>
    <w:p w14:paraId="1087D115" w14:textId="168858B2" w:rsidR="00D91D68" w:rsidRPr="00B0385C" w:rsidRDefault="00D91D68" w:rsidP="005A0D28">
      <w:pPr>
        <w:spacing w:after="0"/>
        <w:jc w:val="both"/>
        <w:rPr>
          <w:rFonts w:ascii="Arial" w:hAnsi="Arial" w:cs="Arial"/>
          <w:i/>
          <w:color w:val="FF0000"/>
        </w:rPr>
      </w:pPr>
      <w:r w:rsidRPr="008041C3">
        <w:rPr>
          <w:rFonts w:ascii="Arial" w:hAnsi="Arial" w:cs="Arial"/>
          <w:color w:val="FF0000"/>
        </w:rPr>
        <w:t>[</w:t>
      </w:r>
      <w:r w:rsidRPr="008041C3">
        <w:rPr>
          <w:rFonts w:ascii="Arial" w:hAnsi="Arial" w:cs="Arial"/>
          <w:i/>
          <w:color w:val="FF0000"/>
        </w:rPr>
        <w:t xml:space="preserve">Insert description of how the </w:t>
      </w:r>
      <w:r w:rsidR="005E256F">
        <w:rPr>
          <w:rFonts w:ascii="Arial" w:hAnsi="Arial" w:cs="Arial"/>
          <w:i/>
          <w:color w:val="FF0000"/>
        </w:rPr>
        <w:t xml:space="preserve">Dental </w:t>
      </w:r>
      <w:r w:rsidRPr="008041C3">
        <w:rPr>
          <w:rFonts w:ascii="Arial" w:hAnsi="Arial" w:cs="Arial"/>
          <w:i/>
          <w:color w:val="FF0000"/>
        </w:rPr>
        <w:t xml:space="preserve">Plan will provide quarterly status updates </w:t>
      </w:r>
      <w:r>
        <w:rPr>
          <w:rFonts w:ascii="Arial" w:hAnsi="Arial" w:cs="Arial"/>
          <w:i/>
          <w:color w:val="FF0000"/>
        </w:rPr>
        <w:t>to</w:t>
      </w:r>
      <w:r w:rsidRPr="008041C3">
        <w:rPr>
          <w:rFonts w:ascii="Arial" w:hAnsi="Arial" w:cs="Arial"/>
          <w:i/>
          <w:color w:val="FF0000"/>
        </w:rPr>
        <w:t xml:space="preserve"> provider</w:t>
      </w:r>
      <w:r>
        <w:rPr>
          <w:rFonts w:ascii="Arial" w:hAnsi="Arial" w:cs="Arial"/>
          <w:i/>
          <w:color w:val="FF0000"/>
        </w:rPr>
        <w:t>s on</w:t>
      </w:r>
      <w:r w:rsidRPr="008041C3">
        <w:rPr>
          <w:rFonts w:ascii="Arial" w:hAnsi="Arial" w:cs="Arial"/>
          <w:i/>
          <w:color w:val="FF0000"/>
        </w:rPr>
        <w:t xml:space="preserve"> progress toward </w:t>
      </w:r>
      <w:r w:rsidR="00EB7B28">
        <w:rPr>
          <w:rFonts w:ascii="Arial" w:hAnsi="Arial" w:cs="Arial"/>
          <w:i/>
          <w:color w:val="FF0000"/>
        </w:rPr>
        <w:t xml:space="preserve">obtaining </w:t>
      </w:r>
      <w:r>
        <w:rPr>
          <w:rFonts w:ascii="Arial" w:hAnsi="Arial" w:cs="Arial"/>
          <w:i/>
          <w:color w:val="FF0000"/>
        </w:rPr>
        <w:t>a Q</w:t>
      </w:r>
      <w:r w:rsidRPr="008041C3">
        <w:rPr>
          <w:rFonts w:ascii="Arial" w:hAnsi="Arial" w:cs="Arial"/>
          <w:i/>
          <w:color w:val="FF0000"/>
        </w:rPr>
        <w:t xml:space="preserve">ualified </w:t>
      </w:r>
      <w:r>
        <w:rPr>
          <w:rFonts w:ascii="Arial" w:hAnsi="Arial" w:cs="Arial"/>
          <w:i/>
          <w:color w:val="FF0000"/>
        </w:rPr>
        <w:t>P</w:t>
      </w:r>
      <w:r w:rsidRPr="008041C3">
        <w:rPr>
          <w:rFonts w:ascii="Arial" w:hAnsi="Arial" w:cs="Arial"/>
          <w:i/>
          <w:color w:val="FF0000"/>
        </w:rPr>
        <w:t>rovider</w:t>
      </w:r>
      <w:r>
        <w:rPr>
          <w:rFonts w:ascii="Arial" w:hAnsi="Arial" w:cs="Arial"/>
          <w:i/>
          <w:color w:val="FF0000"/>
        </w:rPr>
        <w:t xml:space="preserve"> designation</w:t>
      </w:r>
      <w:r w:rsidRPr="008041C3">
        <w:rPr>
          <w:rFonts w:ascii="Arial" w:hAnsi="Arial" w:cs="Arial"/>
          <w:i/>
          <w:color w:val="FF0000"/>
        </w:rPr>
        <w:t xml:space="preserve"> or for </w:t>
      </w:r>
      <w:r>
        <w:rPr>
          <w:rFonts w:ascii="Arial" w:hAnsi="Arial" w:cs="Arial"/>
          <w:i/>
          <w:color w:val="FF0000"/>
        </w:rPr>
        <w:t xml:space="preserve">currently </w:t>
      </w:r>
      <w:r w:rsidRPr="008041C3">
        <w:rPr>
          <w:rFonts w:ascii="Arial" w:hAnsi="Arial" w:cs="Arial"/>
          <w:i/>
          <w:color w:val="FF0000"/>
        </w:rPr>
        <w:t xml:space="preserve">qualified providers to track </w:t>
      </w:r>
      <w:r>
        <w:rPr>
          <w:rFonts w:ascii="Arial" w:hAnsi="Arial" w:cs="Arial"/>
          <w:i/>
          <w:color w:val="FF0000"/>
        </w:rPr>
        <w:t>their</w:t>
      </w:r>
      <w:r w:rsidRPr="008041C3">
        <w:rPr>
          <w:rFonts w:ascii="Arial" w:hAnsi="Arial" w:cs="Arial"/>
          <w:i/>
          <w:color w:val="FF0000"/>
        </w:rPr>
        <w:t xml:space="preserve"> progress toward</w:t>
      </w:r>
      <w:r>
        <w:rPr>
          <w:rFonts w:ascii="Arial" w:hAnsi="Arial" w:cs="Arial"/>
          <w:i/>
          <w:color w:val="FF0000"/>
        </w:rPr>
        <w:t xml:space="preserve"> </w:t>
      </w:r>
      <w:r w:rsidRPr="008041C3">
        <w:rPr>
          <w:rFonts w:ascii="Arial" w:hAnsi="Arial" w:cs="Arial"/>
          <w:i/>
          <w:color w:val="FF0000"/>
        </w:rPr>
        <w:t xml:space="preserve">receipt of </w:t>
      </w:r>
      <w:r>
        <w:rPr>
          <w:rFonts w:ascii="Arial" w:hAnsi="Arial" w:cs="Arial"/>
          <w:i/>
          <w:color w:val="FF0000"/>
        </w:rPr>
        <w:t>the</w:t>
      </w:r>
      <w:r w:rsidRPr="008041C3">
        <w:rPr>
          <w:rFonts w:ascii="Arial" w:hAnsi="Arial" w:cs="Arial"/>
          <w:i/>
          <w:color w:val="FF0000"/>
        </w:rPr>
        <w:t xml:space="preserve"> next</w:t>
      </w:r>
      <w:r>
        <w:rPr>
          <w:rFonts w:ascii="Arial" w:hAnsi="Arial" w:cs="Arial"/>
          <w:i/>
          <w:color w:val="FF0000"/>
        </w:rPr>
        <w:t xml:space="preserve"> </w:t>
      </w:r>
      <w:r w:rsidRPr="008041C3">
        <w:rPr>
          <w:rFonts w:ascii="Arial" w:hAnsi="Arial" w:cs="Arial"/>
          <w:i/>
          <w:color w:val="FF0000"/>
        </w:rPr>
        <w:t>incentive payment.</w:t>
      </w:r>
      <w:r w:rsidRPr="008041C3">
        <w:rPr>
          <w:rFonts w:ascii="Arial" w:hAnsi="Arial" w:cs="Arial"/>
          <w:color w:val="FF0000"/>
        </w:rPr>
        <w:t>]</w:t>
      </w:r>
    </w:p>
    <w:p w14:paraId="08257C54" w14:textId="77777777" w:rsidR="005A0D28" w:rsidRDefault="005A0D28" w:rsidP="005A0D28">
      <w:pPr>
        <w:spacing w:after="0"/>
        <w:jc w:val="both"/>
        <w:rPr>
          <w:rFonts w:ascii="Arial" w:hAnsi="Arial" w:cs="Arial"/>
        </w:rPr>
      </w:pPr>
    </w:p>
    <w:p w14:paraId="20EC4193" w14:textId="097268C9" w:rsidR="008C15DF" w:rsidRDefault="005A0D28" w:rsidP="005A0D28">
      <w:pPr>
        <w:spacing w:after="0"/>
        <w:jc w:val="both"/>
        <w:rPr>
          <w:rFonts w:ascii="Arial" w:hAnsi="Arial" w:cs="Arial"/>
        </w:rPr>
      </w:pPr>
      <w:r>
        <w:rPr>
          <w:rFonts w:ascii="Arial" w:hAnsi="Arial" w:cs="Arial"/>
        </w:rPr>
        <w:t xml:space="preserve">For more information about the </w:t>
      </w:r>
      <w:r w:rsidR="00C17D44">
        <w:rPr>
          <w:rFonts w:ascii="Arial" w:hAnsi="Arial" w:cs="Arial"/>
        </w:rPr>
        <w:t>D</w:t>
      </w:r>
      <w:r>
        <w:rPr>
          <w:rFonts w:ascii="Arial" w:hAnsi="Arial" w:cs="Arial"/>
        </w:rPr>
        <w:t>PIP program parameters, visit the Agency’s webpage at</w:t>
      </w:r>
      <w:r w:rsidR="00875B84">
        <w:rPr>
          <w:rFonts w:ascii="Arial" w:hAnsi="Arial" w:cs="Arial"/>
        </w:rPr>
        <w:t xml:space="preserve"> </w:t>
      </w:r>
      <w:hyperlink r:id="rId11" w:history="1">
        <w:r w:rsidR="00877078" w:rsidRPr="00754970">
          <w:rPr>
            <w:rStyle w:val="Hyperlink"/>
            <w:rFonts w:ascii="Arial" w:hAnsi="Arial" w:cs="Arial"/>
            <w:i/>
            <w:iCs/>
          </w:rPr>
          <w:t>https://ahca.myflorida.com/medicaid/statewide-medicaid-managed-care/current-smmc-program/dental-provider-incentive-program</w:t>
        </w:r>
      </w:hyperlink>
      <w:r w:rsidR="00877078">
        <w:rPr>
          <w:rFonts w:ascii="Arial" w:hAnsi="Arial" w:cs="Arial"/>
          <w:i/>
          <w:iCs/>
        </w:rPr>
        <w:t xml:space="preserve"> </w:t>
      </w:r>
    </w:p>
    <w:p w14:paraId="456CDB16" w14:textId="57FF7CDC" w:rsidR="00D91D68" w:rsidRDefault="00D91D68" w:rsidP="005A0D28">
      <w:pPr>
        <w:spacing w:after="0"/>
        <w:jc w:val="both"/>
        <w:rPr>
          <w:rFonts w:ascii="Arial" w:hAnsi="Arial" w:cs="Arial"/>
        </w:rPr>
      </w:pPr>
      <w:r w:rsidRPr="00AB6365">
        <w:rPr>
          <w:rFonts w:ascii="Arial" w:hAnsi="Arial" w:cs="Arial"/>
        </w:rPr>
        <w:t xml:space="preserve">Thank you for your continued dedication to our members. Should you have any questions about </w:t>
      </w:r>
      <w:r w:rsidR="00C17D44">
        <w:rPr>
          <w:rFonts w:ascii="Arial" w:hAnsi="Arial" w:cs="Arial"/>
        </w:rPr>
        <w:t xml:space="preserve">the </w:t>
      </w:r>
      <w:r w:rsidR="00594A91">
        <w:rPr>
          <w:rFonts w:ascii="Arial" w:hAnsi="Arial" w:cs="Arial"/>
        </w:rPr>
        <w:t>DPIP</w:t>
      </w:r>
      <w:r w:rsidRPr="00AB6365">
        <w:rPr>
          <w:rFonts w:ascii="Arial" w:hAnsi="Arial" w:cs="Arial"/>
        </w:rPr>
        <w:t xml:space="preserve">, please do not hesitate to contact </w:t>
      </w:r>
      <w:r>
        <w:rPr>
          <w:rFonts w:ascii="Arial" w:hAnsi="Arial" w:cs="Arial"/>
        </w:rPr>
        <w:t xml:space="preserve">your Provider Services Representative directly or Provider Services at </w:t>
      </w:r>
      <w:r w:rsidRPr="00246D3E">
        <w:rPr>
          <w:rFonts w:ascii="Arial" w:hAnsi="Arial" w:cs="Arial"/>
          <w:color w:val="FF0000"/>
        </w:rPr>
        <w:t>[</w:t>
      </w:r>
      <w:r w:rsidRPr="00246D3E">
        <w:rPr>
          <w:rFonts w:ascii="Arial" w:hAnsi="Arial" w:cs="Arial"/>
          <w:i/>
          <w:color w:val="FF0000"/>
        </w:rPr>
        <w:t>Phone number</w:t>
      </w:r>
      <w:r w:rsidRPr="00246D3E">
        <w:rPr>
          <w:rFonts w:ascii="Arial" w:hAnsi="Arial" w:cs="Arial"/>
          <w:color w:val="FF0000"/>
        </w:rPr>
        <w:t>]</w:t>
      </w:r>
      <w:r>
        <w:rPr>
          <w:rFonts w:ascii="Arial" w:hAnsi="Arial" w:cs="Arial"/>
        </w:rPr>
        <w:t>.</w:t>
      </w:r>
      <w:r w:rsidR="005A0D28">
        <w:rPr>
          <w:rFonts w:ascii="Arial" w:hAnsi="Arial" w:cs="Arial"/>
        </w:rPr>
        <w:t xml:space="preserve"> </w:t>
      </w:r>
    </w:p>
    <w:p w14:paraId="38B2E870" w14:textId="77777777" w:rsidR="005A0D28" w:rsidRDefault="005A0D28" w:rsidP="00D91D68">
      <w:pPr>
        <w:jc w:val="both"/>
        <w:rPr>
          <w:rFonts w:ascii="Arial" w:hAnsi="Arial" w:cs="Arial"/>
        </w:rPr>
      </w:pPr>
    </w:p>
    <w:p w14:paraId="7C1DA744" w14:textId="44923974" w:rsidR="00D91D68" w:rsidRDefault="00D91D68" w:rsidP="00D91D68">
      <w:pPr>
        <w:jc w:val="both"/>
        <w:rPr>
          <w:rFonts w:ascii="Arial" w:hAnsi="Arial" w:cs="Arial"/>
        </w:rPr>
      </w:pPr>
      <w:r>
        <w:rPr>
          <w:rFonts w:ascii="Arial" w:hAnsi="Arial" w:cs="Arial"/>
        </w:rPr>
        <w:t>Sincerely,</w:t>
      </w:r>
    </w:p>
    <w:p w14:paraId="18A6D876" w14:textId="77777777" w:rsidR="00D91D68" w:rsidRPr="00246D3E" w:rsidRDefault="00D91D68" w:rsidP="00D91D68">
      <w:pPr>
        <w:spacing w:after="0"/>
        <w:jc w:val="both"/>
        <w:rPr>
          <w:rFonts w:ascii="Arial" w:hAnsi="Arial" w:cs="Arial"/>
          <w:color w:val="FF0000"/>
        </w:rPr>
      </w:pPr>
      <w:r w:rsidRPr="00246D3E">
        <w:rPr>
          <w:rFonts w:ascii="Arial" w:hAnsi="Arial" w:cs="Arial"/>
          <w:color w:val="FF0000"/>
        </w:rPr>
        <w:t>[</w:t>
      </w:r>
      <w:r w:rsidRPr="00246D3E">
        <w:rPr>
          <w:rFonts w:ascii="Arial" w:hAnsi="Arial" w:cs="Arial"/>
          <w:i/>
          <w:color w:val="FF0000"/>
        </w:rPr>
        <w:t>Name</w:t>
      </w:r>
      <w:r w:rsidRPr="00246D3E">
        <w:rPr>
          <w:rFonts w:ascii="Arial" w:hAnsi="Arial" w:cs="Arial"/>
          <w:color w:val="FF0000"/>
        </w:rPr>
        <w:t>]</w:t>
      </w:r>
    </w:p>
    <w:p w14:paraId="53CAEAFA" w14:textId="77777777" w:rsidR="00D91D68" w:rsidRPr="00246D3E" w:rsidRDefault="00D91D68" w:rsidP="00D91D68">
      <w:pPr>
        <w:spacing w:after="0"/>
        <w:jc w:val="both"/>
        <w:rPr>
          <w:rFonts w:ascii="Arial" w:hAnsi="Arial" w:cs="Arial"/>
          <w:color w:val="FF0000"/>
        </w:rPr>
      </w:pPr>
      <w:r w:rsidRPr="00246D3E">
        <w:rPr>
          <w:rFonts w:ascii="Arial" w:hAnsi="Arial" w:cs="Arial"/>
          <w:color w:val="FF0000"/>
        </w:rPr>
        <w:t>[</w:t>
      </w:r>
      <w:r w:rsidRPr="00246D3E">
        <w:rPr>
          <w:rFonts w:ascii="Arial" w:hAnsi="Arial" w:cs="Arial"/>
          <w:i/>
          <w:color w:val="FF0000"/>
        </w:rPr>
        <w:t>Title</w:t>
      </w:r>
      <w:r w:rsidRPr="00246D3E">
        <w:rPr>
          <w:rFonts w:ascii="Arial" w:hAnsi="Arial" w:cs="Arial"/>
          <w:color w:val="FF0000"/>
        </w:rPr>
        <w:t>]</w:t>
      </w:r>
    </w:p>
    <w:p w14:paraId="2AA556EF" w14:textId="77777777" w:rsidR="00877078" w:rsidRDefault="00877078"/>
    <w:sectPr w:rsidR="00877078" w:rsidSect="00BD7B1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5CE8" w14:textId="77777777" w:rsidR="00BD7B10" w:rsidRDefault="00BD7B10" w:rsidP="00D91D68">
      <w:pPr>
        <w:spacing w:after="0" w:line="240" w:lineRule="auto"/>
      </w:pPr>
      <w:r>
        <w:separator/>
      </w:r>
    </w:p>
  </w:endnote>
  <w:endnote w:type="continuationSeparator" w:id="0">
    <w:p w14:paraId="08D46B1B" w14:textId="77777777" w:rsidR="00BD7B10" w:rsidRDefault="00BD7B10" w:rsidP="00D9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26CE" w14:textId="2ED21935" w:rsidR="00877078" w:rsidRDefault="00DD34A5" w:rsidP="000B39CA">
    <w:pPr>
      <w:pStyle w:val="Footer"/>
      <w:jc w:val="center"/>
      <w:rPr>
        <w:rFonts w:ascii="Arial" w:hAnsi="Arial" w:cs="Arial"/>
        <w:noProof/>
        <w:sz w:val="20"/>
        <w:szCs w:val="20"/>
      </w:rPr>
    </w:pPr>
    <w:r>
      <w:tab/>
    </w:r>
    <w:sdt>
      <w:sdtPr>
        <w:id w:val="1016573152"/>
        <w:docPartObj>
          <w:docPartGallery w:val="Page Numbers (Bottom of Page)"/>
          <w:docPartUnique/>
        </w:docPartObj>
      </w:sdtPr>
      <w:sdtEndPr>
        <w:rPr>
          <w:rFonts w:ascii="Arial" w:hAnsi="Arial" w:cs="Arial"/>
          <w:i/>
          <w:noProof/>
          <w:color w:val="FF0000"/>
          <w:sz w:val="20"/>
          <w:szCs w:val="20"/>
        </w:rPr>
      </w:sdtEndPr>
      <w:sdtContent>
        <w:r w:rsidR="0081062C">
          <w:tab/>
        </w:r>
        <w:r w:rsidR="00D91D68" w:rsidRPr="003B4D44">
          <w:rPr>
            <w:rFonts w:ascii="Arial" w:hAnsi="Arial" w:cs="Arial"/>
            <w:sz w:val="20"/>
            <w:szCs w:val="20"/>
          </w:rPr>
          <w:fldChar w:fldCharType="begin"/>
        </w:r>
        <w:r w:rsidR="00D91D68" w:rsidRPr="003B4D44">
          <w:rPr>
            <w:rFonts w:ascii="Arial" w:hAnsi="Arial" w:cs="Arial"/>
            <w:sz w:val="20"/>
            <w:szCs w:val="20"/>
          </w:rPr>
          <w:instrText xml:space="preserve"> PAGE   \* MERGEFORMAT </w:instrText>
        </w:r>
        <w:r w:rsidR="00D91D68" w:rsidRPr="003B4D44">
          <w:rPr>
            <w:rFonts w:ascii="Arial" w:hAnsi="Arial" w:cs="Arial"/>
            <w:sz w:val="20"/>
            <w:szCs w:val="20"/>
          </w:rPr>
          <w:fldChar w:fldCharType="separate"/>
        </w:r>
        <w:r w:rsidR="00DD3223">
          <w:rPr>
            <w:rFonts w:ascii="Arial" w:hAnsi="Arial" w:cs="Arial"/>
            <w:noProof/>
            <w:sz w:val="20"/>
            <w:szCs w:val="20"/>
          </w:rPr>
          <w:t>5</w:t>
        </w:r>
        <w:r w:rsidR="00D91D68" w:rsidRPr="003B4D44">
          <w:rPr>
            <w:rFonts w:ascii="Arial" w:hAnsi="Arial" w:cs="Arial"/>
            <w:noProof/>
            <w:sz w:val="20"/>
            <w:szCs w:val="20"/>
          </w:rPr>
          <w:fldChar w:fldCharType="end"/>
        </w:r>
        <w:r w:rsidR="007B56D3">
          <w:rPr>
            <w:rFonts w:ascii="Arial" w:hAnsi="Arial" w:cs="Arial"/>
            <w:noProof/>
            <w:sz w:val="20"/>
            <w:szCs w:val="20"/>
          </w:rPr>
          <w:t xml:space="preserve"> of </w:t>
        </w:r>
        <w:r w:rsidR="00E12A75" w:rsidRPr="00E12A75">
          <w:rPr>
            <w:rFonts w:ascii="Arial" w:hAnsi="Arial" w:cs="Arial"/>
            <w:i/>
            <w:noProof/>
            <w:color w:val="FF0000"/>
            <w:sz w:val="20"/>
            <w:szCs w:val="20"/>
          </w:rPr>
          <w:t>X</w:t>
        </w:r>
      </w:sdtContent>
    </w:sdt>
  </w:p>
  <w:p w14:paraId="37983382" w14:textId="3D3852BE" w:rsidR="0081062C" w:rsidRPr="000B39CA" w:rsidRDefault="0081062C" w:rsidP="008106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A72A" w14:textId="77777777" w:rsidR="00BD7B10" w:rsidRDefault="00BD7B10" w:rsidP="00D91D68">
      <w:pPr>
        <w:spacing w:after="0" w:line="240" w:lineRule="auto"/>
      </w:pPr>
      <w:r>
        <w:separator/>
      </w:r>
    </w:p>
  </w:footnote>
  <w:footnote w:type="continuationSeparator" w:id="0">
    <w:p w14:paraId="39CA8FDF" w14:textId="77777777" w:rsidR="00BD7B10" w:rsidRDefault="00BD7B10" w:rsidP="00D9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rPr>
      <w:id w:val="-1400356897"/>
      <w:docPartObj>
        <w:docPartGallery w:val="Watermarks"/>
        <w:docPartUnique/>
      </w:docPartObj>
    </w:sdtPr>
    <w:sdtEndPr>
      <w:rPr>
        <w:i w:val="0"/>
      </w:rPr>
    </w:sdtEndPr>
    <w:sdtContent>
      <w:p w14:paraId="4329C9D7" w14:textId="4178B3E2" w:rsidR="008C0227" w:rsidRPr="008C0227" w:rsidRDefault="008C0227" w:rsidP="008C0227">
        <w:pPr>
          <w:pStyle w:val="Footer"/>
          <w:jc w:val="center"/>
          <w:rPr>
            <w:rFonts w:ascii="Arial" w:hAnsi="Arial" w:cs="Arial"/>
            <w:color w:val="FF0000"/>
          </w:rPr>
        </w:pPr>
        <w:r w:rsidRPr="008C0227">
          <w:rPr>
            <w:rFonts w:ascii="Arial" w:hAnsi="Arial" w:cs="Arial"/>
            <w:color w:val="FF0000"/>
          </w:rPr>
          <w:t>[</w:t>
        </w:r>
        <w:r w:rsidRPr="008C0227">
          <w:rPr>
            <w:rFonts w:ascii="Arial" w:hAnsi="Arial" w:cs="Arial"/>
            <w:i/>
            <w:color w:val="FF0000"/>
          </w:rPr>
          <w:t>Plan Letterhead</w:t>
        </w:r>
        <w:r w:rsidRPr="008C0227">
          <w:rPr>
            <w:rFonts w:ascii="Arial" w:hAnsi="Arial" w:cs="Arial"/>
            <w:color w:val="FF0000"/>
          </w:rPr>
          <w:t>]</w:t>
        </w:r>
      </w:p>
      <w:p w14:paraId="35311BBE" w14:textId="77777777" w:rsidR="008C0227" w:rsidRPr="008C0227" w:rsidRDefault="008C0227" w:rsidP="008C0227">
        <w:pPr>
          <w:pStyle w:val="Footer"/>
          <w:jc w:val="center"/>
          <w:rPr>
            <w:rFonts w:ascii="Arial" w:hAnsi="Arial" w:cs="Arial"/>
          </w:rPr>
        </w:pPr>
        <w:r w:rsidRPr="008C0227">
          <w:rPr>
            <w:rFonts w:ascii="Arial" w:hAnsi="Arial" w:cs="Arial"/>
          </w:rPr>
          <w:t>2025-2026 DPIP General Announcement Letter</w:t>
        </w:r>
      </w:p>
      <w:p w14:paraId="38020B4F" w14:textId="77777777" w:rsidR="008C0227" w:rsidRDefault="002F0066" w:rsidP="008C0227">
        <w:pPr>
          <w:pStyle w:val="Header"/>
          <w:rPr>
            <w:rFonts w:ascii="Arial" w:hAnsi="Arial" w:cs="Arial"/>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6209C"/>
    <w:multiLevelType w:val="hybridMultilevel"/>
    <w:tmpl w:val="86FE61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3152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68"/>
    <w:rsid w:val="00005A4D"/>
    <w:rsid w:val="000606D0"/>
    <w:rsid w:val="00092F50"/>
    <w:rsid w:val="000A1B81"/>
    <w:rsid w:val="000B39CA"/>
    <w:rsid w:val="000C655B"/>
    <w:rsid w:val="00151B66"/>
    <w:rsid w:val="00152853"/>
    <w:rsid w:val="00154C39"/>
    <w:rsid w:val="00175B7C"/>
    <w:rsid w:val="001D70F1"/>
    <w:rsid w:val="00232AB5"/>
    <w:rsid w:val="00244C1A"/>
    <w:rsid w:val="0027220B"/>
    <w:rsid w:val="00287A8D"/>
    <w:rsid w:val="002C7290"/>
    <w:rsid w:val="002D029C"/>
    <w:rsid w:val="002F0066"/>
    <w:rsid w:val="003171F7"/>
    <w:rsid w:val="003826AD"/>
    <w:rsid w:val="00393EBF"/>
    <w:rsid w:val="003B35DD"/>
    <w:rsid w:val="0042001A"/>
    <w:rsid w:val="0046585C"/>
    <w:rsid w:val="00491CE3"/>
    <w:rsid w:val="004F12C4"/>
    <w:rsid w:val="005079D1"/>
    <w:rsid w:val="00552CB7"/>
    <w:rsid w:val="00570254"/>
    <w:rsid w:val="00576E6F"/>
    <w:rsid w:val="00594A91"/>
    <w:rsid w:val="005A0D28"/>
    <w:rsid w:val="005A2B1D"/>
    <w:rsid w:val="005A4C72"/>
    <w:rsid w:val="005B4ED3"/>
    <w:rsid w:val="005D4B53"/>
    <w:rsid w:val="005E256F"/>
    <w:rsid w:val="00643033"/>
    <w:rsid w:val="006A66E2"/>
    <w:rsid w:val="007272A3"/>
    <w:rsid w:val="0075233B"/>
    <w:rsid w:val="007915BB"/>
    <w:rsid w:val="00796193"/>
    <w:rsid w:val="007A48E8"/>
    <w:rsid w:val="007B0174"/>
    <w:rsid w:val="007B19AB"/>
    <w:rsid w:val="007B56D3"/>
    <w:rsid w:val="007F46C3"/>
    <w:rsid w:val="007F619C"/>
    <w:rsid w:val="00800C6C"/>
    <w:rsid w:val="0081062C"/>
    <w:rsid w:val="00875B84"/>
    <w:rsid w:val="00877078"/>
    <w:rsid w:val="00877A34"/>
    <w:rsid w:val="008A44F5"/>
    <w:rsid w:val="008C0227"/>
    <w:rsid w:val="008C15DF"/>
    <w:rsid w:val="008D5153"/>
    <w:rsid w:val="008E2A5A"/>
    <w:rsid w:val="00906A59"/>
    <w:rsid w:val="009321D2"/>
    <w:rsid w:val="00933726"/>
    <w:rsid w:val="00946E44"/>
    <w:rsid w:val="00A13FE3"/>
    <w:rsid w:val="00A63501"/>
    <w:rsid w:val="00A95C27"/>
    <w:rsid w:val="00AF576C"/>
    <w:rsid w:val="00B53E54"/>
    <w:rsid w:val="00BC55AA"/>
    <w:rsid w:val="00BD6925"/>
    <w:rsid w:val="00BD7B10"/>
    <w:rsid w:val="00C1085C"/>
    <w:rsid w:val="00C17D44"/>
    <w:rsid w:val="00C80D30"/>
    <w:rsid w:val="00C91DC1"/>
    <w:rsid w:val="00D41576"/>
    <w:rsid w:val="00D90F8D"/>
    <w:rsid w:val="00D91D68"/>
    <w:rsid w:val="00DD3223"/>
    <w:rsid w:val="00DD34A5"/>
    <w:rsid w:val="00DD7A4F"/>
    <w:rsid w:val="00E02F52"/>
    <w:rsid w:val="00E03098"/>
    <w:rsid w:val="00E12A75"/>
    <w:rsid w:val="00E1420F"/>
    <w:rsid w:val="00E343ED"/>
    <w:rsid w:val="00E4597E"/>
    <w:rsid w:val="00E5568A"/>
    <w:rsid w:val="00EB7B28"/>
    <w:rsid w:val="00EC1BE6"/>
    <w:rsid w:val="00ED1079"/>
    <w:rsid w:val="00ED23C1"/>
    <w:rsid w:val="00EE05C7"/>
    <w:rsid w:val="00EF19E9"/>
    <w:rsid w:val="00F17D66"/>
    <w:rsid w:val="00F30284"/>
    <w:rsid w:val="00F33B86"/>
    <w:rsid w:val="00F51816"/>
    <w:rsid w:val="00F542DB"/>
    <w:rsid w:val="00F71B09"/>
    <w:rsid w:val="00FD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7FB5C"/>
  <w15:chartTrackingRefBased/>
  <w15:docId w15:val="{55A3649E-47E0-4791-A993-9A2D395A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68"/>
    <w:pPr>
      <w:ind w:left="720"/>
      <w:contextualSpacing/>
    </w:pPr>
  </w:style>
  <w:style w:type="paragraph" w:styleId="Header">
    <w:name w:val="header"/>
    <w:basedOn w:val="Normal"/>
    <w:link w:val="HeaderChar"/>
    <w:uiPriority w:val="99"/>
    <w:unhideWhenUsed/>
    <w:rsid w:val="00D91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D68"/>
  </w:style>
  <w:style w:type="paragraph" w:styleId="Footer">
    <w:name w:val="footer"/>
    <w:basedOn w:val="Normal"/>
    <w:link w:val="FooterChar"/>
    <w:uiPriority w:val="99"/>
    <w:unhideWhenUsed/>
    <w:rsid w:val="00D91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D68"/>
  </w:style>
  <w:style w:type="character" w:styleId="CommentReference">
    <w:name w:val="annotation reference"/>
    <w:basedOn w:val="DefaultParagraphFont"/>
    <w:uiPriority w:val="99"/>
    <w:semiHidden/>
    <w:unhideWhenUsed/>
    <w:rsid w:val="00D91D68"/>
    <w:rPr>
      <w:sz w:val="16"/>
      <w:szCs w:val="16"/>
    </w:rPr>
  </w:style>
  <w:style w:type="paragraph" w:styleId="CommentText">
    <w:name w:val="annotation text"/>
    <w:basedOn w:val="Normal"/>
    <w:link w:val="CommentTextChar"/>
    <w:uiPriority w:val="99"/>
    <w:unhideWhenUsed/>
    <w:rsid w:val="00D91D68"/>
    <w:pPr>
      <w:spacing w:line="240" w:lineRule="auto"/>
    </w:pPr>
    <w:rPr>
      <w:sz w:val="20"/>
      <w:szCs w:val="20"/>
    </w:rPr>
  </w:style>
  <w:style w:type="character" w:customStyle="1" w:styleId="CommentTextChar">
    <w:name w:val="Comment Text Char"/>
    <w:basedOn w:val="DefaultParagraphFont"/>
    <w:link w:val="CommentText"/>
    <w:uiPriority w:val="99"/>
    <w:rsid w:val="00D91D68"/>
    <w:rPr>
      <w:sz w:val="20"/>
      <w:szCs w:val="20"/>
    </w:rPr>
  </w:style>
  <w:style w:type="table" w:styleId="TableGrid">
    <w:name w:val="Table Grid"/>
    <w:basedOn w:val="TableNormal"/>
    <w:uiPriority w:val="39"/>
    <w:rsid w:val="00D91D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68"/>
    <w:rPr>
      <w:rFonts w:ascii="Segoe UI" w:hAnsi="Segoe UI" w:cs="Segoe UI"/>
      <w:sz w:val="18"/>
      <w:szCs w:val="18"/>
    </w:rPr>
  </w:style>
  <w:style w:type="character" w:styleId="Hyperlink">
    <w:name w:val="Hyperlink"/>
    <w:basedOn w:val="DefaultParagraphFont"/>
    <w:uiPriority w:val="99"/>
    <w:unhideWhenUsed/>
    <w:rsid w:val="00A6350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1420F"/>
    <w:rPr>
      <w:b/>
      <w:bCs/>
    </w:rPr>
  </w:style>
  <w:style w:type="character" w:customStyle="1" w:styleId="CommentSubjectChar">
    <w:name w:val="Comment Subject Char"/>
    <w:basedOn w:val="CommentTextChar"/>
    <w:link w:val="CommentSubject"/>
    <w:uiPriority w:val="99"/>
    <w:semiHidden/>
    <w:rsid w:val="00E1420F"/>
    <w:rPr>
      <w:b/>
      <w:bCs/>
      <w:sz w:val="20"/>
      <w:szCs w:val="20"/>
    </w:rPr>
  </w:style>
  <w:style w:type="character" w:styleId="FollowedHyperlink">
    <w:name w:val="FollowedHyperlink"/>
    <w:basedOn w:val="DefaultParagraphFont"/>
    <w:uiPriority w:val="99"/>
    <w:semiHidden/>
    <w:unhideWhenUsed/>
    <w:rsid w:val="00E1420F"/>
    <w:rPr>
      <w:color w:val="800080" w:themeColor="followedHyperlink"/>
      <w:u w:val="single"/>
    </w:rPr>
  </w:style>
  <w:style w:type="paragraph" w:styleId="FootnoteText">
    <w:name w:val="footnote text"/>
    <w:basedOn w:val="Normal"/>
    <w:link w:val="FootnoteTextChar"/>
    <w:uiPriority w:val="99"/>
    <w:semiHidden/>
    <w:unhideWhenUsed/>
    <w:rsid w:val="00A95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C27"/>
    <w:rPr>
      <w:sz w:val="20"/>
      <w:szCs w:val="20"/>
    </w:rPr>
  </w:style>
  <w:style w:type="character" w:styleId="FootnoteReference">
    <w:name w:val="footnote reference"/>
    <w:basedOn w:val="DefaultParagraphFont"/>
    <w:uiPriority w:val="99"/>
    <w:semiHidden/>
    <w:unhideWhenUsed/>
    <w:rsid w:val="00A95C27"/>
    <w:rPr>
      <w:vertAlign w:val="superscript"/>
    </w:rPr>
  </w:style>
  <w:style w:type="paragraph" w:styleId="Revision">
    <w:name w:val="Revision"/>
    <w:hidden/>
    <w:uiPriority w:val="99"/>
    <w:semiHidden/>
    <w:rsid w:val="007B19AB"/>
    <w:pPr>
      <w:spacing w:after="0" w:line="240" w:lineRule="auto"/>
    </w:pPr>
  </w:style>
  <w:style w:type="character" w:styleId="UnresolvedMention">
    <w:name w:val="Unresolved Mention"/>
    <w:basedOn w:val="DefaultParagraphFont"/>
    <w:uiPriority w:val="99"/>
    <w:semiHidden/>
    <w:unhideWhenUsed/>
    <w:rsid w:val="00877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6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hca.myflorida.com/medicaid/statewide-medicaid-managed-care/current-smmc-program/dental-provider-incentive-progr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18F7F-74F5-4C0E-B483-B2CC92759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5EC82D-884A-4DDA-873C-1F8AC79CEB8A}">
  <ds:schemaRefs>
    <ds:schemaRef ds:uri="http://schemas.openxmlformats.org/officeDocument/2006/bibliography"/>
  </ds:schemaRefs>
</ds:datastoreItem>
</file>

<file path=customXml/itemProps3.xml><?xml version="1.0" encoding="utf-8"?>
<ds:datastoreItem xmlns:ds="http://schemas.openxmlformats.org/officeDocument/2006/customXml" ds:itemID="{D4BA1BA5-FF55-457C-B267-92B6CE05D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64EA4E-E40F-44CF-AB2D-F845A892B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Rachel</dc:creator>
  <cp:keywords/>
  <dc:description/>
  <cp:lastModifiedBy>Jean-Paul, Jamie</cp:lastModifiedBy>
  <cp:revision>2</cp:revision>
  <cp:lastPrinted>2023-12-22T17:15:00Z</cp:lastPrinted>
  <dcterms:created xsi:type="dcterms:W3CDTF">2024-05-02T18:04:00Z</dcterms:created>
  <dcterms:modified xsi:type="dcterms:W3CDTF">2024-05-02T18:04:00Z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903ff0b12ae3bd7055b21304d22166c9fd945ad1f9072de127598ea29d0b1552</vt:lpwstr>
  </property>
</Properties>
</file>