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ACE0"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Date</w:t>
      </w:r>
      <w:r w:rsidRPr="00246D3E">
        <w:rPr>
          <w:rFonts w:ascii="Arial" w:hAnsi="Arial" w:cs="Arial"/>
          <w:color w:val="FF0000"/>
        </w:rPr>
        <w:t>]</w:t>
      </w:r>
    </w:p>
    <w:p w14:paraId="0139C14E"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Provider Name</w:t>
      </w:r>
      <w:r w:rsidRPr="00246D3E">
        <w:rPr>
          <w:rFonts w:ascii="Arial" w:hAnsi="Arial" w:cs="Arial"/>
          <w:color w:val="FF0000"/>
        </w:rPr>
        <w:t>]</w:t>
      </w:r>
    </w:p>
    <w:p w14:paraId="1FB97C18"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Address</w:t>
      </w:r>
      <w:r w:rsidRPr="00246D3E">
        <w:rPr>
          <w:rFonts w:ascii="Arial" w:hAnsi="Arial" w:cs="Arial"/>
          <w:color w:val="FF0000"/>
        </w:rPr>
        <w:t xml:space="preserve">] </w:t>
      </w:r>
    </w:p>
    <w:p w14:paraId="29DA6562"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City, State, ZIP code</w:t>
      </w:r>
      <w:r w:rsidRPr="00246D3E">
        <w:rPr>
          <w:rFonts w:ascii="Arial" w:hAnsi="Arial" w:cs="Arial"/>
          <w:color w:val="FF0000"/>
        </w:rPr>
        <w:t>]</w:t>
      </w:r>
    </w:p>
    <w:p w14:paraId="3A703C94" w14:textId="77777777" w:rsidR="00D91D68" w:rsidRDefault="00D91D68" w:rsidP="00D91D68">
      <w:pPr>
        <w:spacing w:after="0"/>
        <w:rPr>
          <w:rFonts w:ascii="Arial" w:hAnsi="Arial" w:cs="Arial"/>
        </w:rPr>
      </w:pPr>
    </w:p>
    <w:p w14:paraId="7ED0BF09" w14:textId="77777777" w:rsidR="00D91D68" w:rsidRDefault="00D91D68" w:rsidP="00D91D68">
      <w:pPr>
        <w:rPr>
          <w:rFonts w:ascii="Arial" w:hAnsi="Arial" w:cs="Arial"/>
        </w:rPr>
      </w:pPr>
      <w:r>
        <w:rPr>
          <w:rFonts w:ascii="Arial" w:hAnsi="Arial" w:cs="Arial"/>
        </w:rPr>
        <w:t>Dear Provider:</w:t>
      </w:r>
    </w:p>
    <w:p w14:paraId="49BF45C6" w14:textId="6DB35571" w:rsidR="00A07D50" w:rsidRDefault="00A07D50" w:rsidP="00A07D50">
      <w:pPr>
        <w:jc w:val="both"/>
        <w:rPr>
          <w:rFonts w:ascii="Arial" w:hAnsi="Arial" w:cs="Arial"/>
        </w:rPr>
      </w:pPr>
      <w:r w:rsidRPr="00246D3E">
        <w:rPr>
          <w:rFonts w:ascii="Arial" w:hAnsi="Arial" w:cs="Arial"/>
          <w:color w:val="FF0000"/>
        </w:rPr>
        <w:t>[</w:t>
      </w:r>
      <w:r w:rsidRPr="00246D3E">
        <w:rPr>
          <w:rFonts w:ascii="Arial" w:hAnsi="Arial" w:cs="Arial"/>
          <w:i/>
          <w:color w:val="FF0000"/>
        </w:rPr>
        <w:t>Plan Name</w:t>
      </w:r>
      <w:r w:rsidRPr="00246D3E">
        <w:rPr>
          <w:rFonts w:ascii="Arial" w:hAnsi="Arial" w:cs="Arial"/>
          <w:color w:val="FF0000"/>
        </w:rPr>
        <w:t xml:space="preserve">] </w:t>
      </w:r>
      <w:r>
        <w:rPr>
          <w:rFonts w:ascii="Arial" w:hAnsi="Arial" w:cs="Arial"/>
        </w:rPr>
        <w:t xml:space="preserve">is pleased to announce the continued implementation of the </w:t>
      </w:r>
      <w:r w:rsidR="00A8792D" w:rsidRPr="00A8792D">
        <w:rPr>
          <w:rFonts w:ascii="Arial" w:hAnsi="Arial" w:cs="Arial"/>
          <w:color w:val="FF0000"/>
        </w:rPr>
        <w:t xml:space="preserve">2023-2024 </w:t>
      </w:r>
      <w:r>
        <w:rPr>
          <w:rFonts w:ascii="Arial" w:hAnsi="Arial" w:cs="Arial"/>
        </w:rPr>
        <w:t xml:space="preserve">MMA Physician Incentive Program (MPIP). MPIP provides the opportunity for designated physician types to earn enhanced payments equivalent to the appropriate Medicare Fee-for-Service Rate, as established by the Agency for Health Care Administration (Agency), based on the achievement of key access and quality measures. </w:t>
      </w:r>
    </w:p>
    <w:p w14:paraId="49E4A561" w14:textId="3A2253AB" w:rsidR="00A07D50" w:rsidRPr="009A7A98" w:rsidRDefault="00A07D50" w:rsidP="00A07D50">
      <w:pPr>
        <w:jc w:val="both"/>
        <w:rPr>
          <w:rFonts w:ascii="Arial" w:hAnsi="Arial" w:cs="Arial"/>
        </w:rPr>
      </w:pPr>
      <w:r>
        <w:rPr>
          <w:rFonts w:ascii="Arial" w:hAnsi="Arial" w:cs="Arial"/>
        </w:rPr>
        <w:t xml:space="preserve">This letter is to inform you that you have been identified as one of the provider types eligible to qualify for MPIP. If you are not qualified to receive the enhanced payment at this time, you will have another opportunity to reach Qualified Provider status following program implementation, or on </w:t>
      </w:r>
      <w:r w:rsidRPr="007F46C3">
        <w:rPr>
          <w:rFonts w:ascii="Arial" w:hAnsi="Arial" w:cs="Arial"/>
          <w:i/>
          <w:color w:val="FF0000"/>
        </w:rPr>
        <w:t>[</w:t>
      </w:r>
      <w:r>
        <w:rPr>
          <w:rFonts w:ascii="Arial" w:hAnsi="Arial" w:cs="Arial"/>
          <w:i/>
          <w:color w:val="FF0000"/>
        </w:rPr>
        <w:t>April 1, 2024</w:t>
      </w:r>
      <w:r w:rsidRPr="007F46C3">
        <w:rPr>
          <w:rFonts w:ascii="Arial" w:hAnsi="Arial" w:cs="Arial"/>
          <w:i/>
          <w:color w:val="FF0000"/>
        </w:rPr>
        <w:t>]</w:t>
      </w:r>
      <w:r>
        <w:rPr>
          <w:rFonts w:ascii="Arial" w:hAnsi="Arial" w:cs="Arial"/>
        </w:rPr>
        <w:t xml:space="preserve">. </w:t>
      </w:r>
    </w:p>
    <w:p w14:paraId="10286AA8" w14:textId="63A1522C" w:rsidR="00D91D68" w:rsidRDefault="00D91D68" w:rsidP="00D91D68">
      <w:pPr>
        <w:jc w:val="both"/>
        <w:rPr>
          <w:rFonts w:ascii="Arial" w:hAnsi="Arial" w:cs="Arial"/>
          <w:b/>
          <w:u w:val="single"/>
        </w:rPr>
      </w:pPr>
      <w:r>
        <w:rPr>
          <w:rFonts w:ascii="Arial" w:hAnsi="Arial" w:cs="Arial"/>
          <w:b/>
          <w:u w:val="single"/>
        </w:rPr>
        <w:t>How do I Qualify</w:t>
      </w:r>
      <w:r w:rsidRPr="00A6265A">
        <w:rPr>
          <w:rFonts w:ascii="Arial" w:hAnsi="Arial" w:cs="Arial"/>
          <w:b/>
          <w:u w:val="single"/>
        </w:rPr>
        <w:t>?</w:t>
      </w:r>
    </w:p>
    <w:p w14:paraId="363FB307" w14:textId="6229E05E" w:rsidR="00570254" w:rsidRDefault="00E43043" w:rsidP="00287A8D">
      <w:pPr>
        <w:jc w:val="both"/>
        <w:rPr>
          <w:rFonts w:ascii="Arial" w:hAnsi="Arial" w:cs="Arial"/>
        </w:rPr>
      </w:pPr>
      <w:r w:rsidRPr="00E43043">
        <w:rPr>
          <w:rFonts w:ascii="Arial" w:hAnsi="Arial" w:cs="Arial"/>
          <w:b/>
          <w:bCs/>
        </w:rPr>
        <w:t>Pediatric Primary Care P</w:t>
      </w:r>
      <w:r>
        <w:rPr>
          <w:rFonts w:ascii="Arial" w:hAnsi="Arial" w:cs="Arial"/>
          <w:b/>
          <w:bCs/>
        </w:rPr>
        <w:t>hysicians</w:t>
      </w:r>
      <w:r w:rsidRPr="00E43043">
        <w:rPr>
          <w:rFonts w:ascii="Arial" w:hAnsi="Arial" w:cs="Arial"/>
          <w:b/>
          <w:bCs/>
        </w:rPr>
        <w:t>:</w:t>
      </w:r>
      <w:r>
        <w:rPr>
          <w:rFonts w:ascii="Arial" w:hAnsi="Arial" w:cs="Arial"/>
        </w:rPr>
        <w:t xml:space="preserve"> </w:t>
      </w:r>
      <w:r w:rsidR="00A07D50" w:rsidRPr="00A07D50">
        <w:rPr>
          <w:rFonts w:ascii="Arial" w:hAnsi="Arial" w:cs="Arial"/>
        </w:rPr>
        <w:t>Qualified providers are pediatric primary care physicians (including pediatricians, family practitioners, and general practitioners) that provide medical services to enrollees under the age of 21 years. There are two ways a pediatric primary care provider may achieve qualified provider status:</w:t>
      </w:r>
    </w:p>
    <w:p w14:paraId="69B92CA1" w14:textId="42C867CF" w:rsidR="00E43043" w:rsidRPr="00A22043" w:rsidRDefault="00E43043" w:rsidP="00287A8D">
      <w:pPr>
        <w:jc w:val="both"/>
        <w:rPr>
          <w:rFonts w:ascii="Arial" w:hAnsi="Arial" w:cs="Arial"/>
        </w:rPr>
      </w:pPr>
      <w:r>
        <w:rPr>
          <w:rFonts w:ascii="Arial" w:hAnsi="Arial" w:cs="Arial"/>
        </w:rPr>
        <w:t xml:space="preserve">Option 1: </w:t>
      </w:r>
      <w:r w:rsidRPr="00E43043">
        <w:rPr>
          <w:rFonts w:ascii="Arial" w:hAnsi="Arial" w:cs="Arial"/>
        </w:rPr>
        <w:t>Recognition by one of the following organizations as a Patient-Centered Medical Home (PCMH)</w:t>
      </w:r>
      <w:r w:rsidRPr="00E43043">
        <w:t xml:space="preserve"> </w:t>
      </w:r>
      <w:r w:rsidRPr="00E43043">
        <w:rPr>
          <w:rFonts w:ascii="Arial" w:hAnsi="Arial" w:cs="Arial"/>
        </w:rPr>
        <w:t xml:space="preserve">on or before </w:t>
      </w:r>
      <w:r w:rsidRPr="007264CC">
        <w:rPr>
          <w:rFonts w:ascii="Arial" w:hAnsi="Arial" w:cs="Arial"/>
          <w:i/>
          <w:color w:val="FF0000"/>
        </w:rPr>
        <w:t>[October 1, 2023</w:t>
      </w:r>
      <w:r w:rsidR="00AE3CAA" w:rsidRPr="007264CC">
        <w:rPr>
          <w:rFonts w:ascii="Arial" w:hAnsi="Arial" w:cs="Arial"/>
          <w:i/>
          <w:color w:val="FF0000"/>
        </w:rPr>
        <w:t>]</w:t>
      </w:r>
      <w:r w:rsidR="00AE3CAA" w:rsidRPr="00E43043">
        <w:rPr>
          <w:rFonts w:ascii="Arial" w:hAnsi="Arial" w:cs="Arial"/>
          <w:color w:val="FF0000"/>
        </w:rPr>
        <w:t>:</w:t>
      </w:r>
    </w:p>
    <w:p w14:paraId="1BDB1982" w14:textId="77777777" w:rsidR="00E43043" w:rsidRPr="00A22043" w:rsidRDefault="00287A8D" w:rsidP="00E43043">
      <w:pPr>
        <w:numPr>
          <w:ilvl w:val="0"/>
          <w:numId w:val="1"/>
        </w:numPr>
        <w:spacing w:before="240" w:after="0"/>
        <w:contextualSpacing/>
        <w:jc w:val="both"/>
        <w:rPr>
          <w:rFonts w:ascii="Arial" w:hAnsi="Arial" w:cs="Arial"/>
        </w:rPr>
      </w:pPr>
      <w:bookmarkStart w:id="0" w:name="_Hlk128732248"/>
      <w:bookmarkStart w:id="1" w:name="_Hlk124838646"/>
      <w:r>
        <w:rPr>
          <w:rFonts w:ascii="Arial" w:hAnsi="Arial" w:cs="Arial"/>
          <w:b/>
        </w:rPr>
        <w:t xml:space="preserve"> </w:t>
      </w:r>
      <w:r w:rsidR="00E43043" w:rsidRPr="00A22043">
        <w:rPr>
          <w:rFonts w:ascii="Arial" w:hAnsi="Arial" w:cs="Arial"/>
        </w:rPr>
        <w:t>National Committ</w:t>
      </w:r>
      <w:r w:rsidR="00E43043">
        <w:rPr>
          <w:rFonts w:ascii="Arial" w:hAnsi="Arial" w:cs="Arial"/>
        </w:rPr>
        <w:t>ee for Quality Assurance (NCQA)</w:t>
      </w:r>
      <w:r w:rsidR="00E43043" w:rsidRPr="00A22043">
        <w:rPr>
          <w:rFonts w:ascii="Arial" w:hAnsi="Arial" w:cs="Arial"/>
        </w:rPr>
        <w:t>;</w:t>
      </w:r>
    </w:p>
    <w:p w14:paraId="3F6E52FD" w14:textId="77777777" w:rsidR="00E43043" w:rsidRPr="00A22043" w:rsidRDefault="00E43043" w:rsidP="00E43043">
      <w:pPr>
        <w:numPr>
          <w:ilvl w:val="0"/>
          <w:numId w:val="1"/>
        </w:numPr>
        <w:contextualSpacing/>
        <w:jc w:val="both"/>
        <w:rPr>
          <w:rFonts w:ascii="Arial" w:hAnsi="Arial" w:cs="Arial"/>
        </w:rPr>
      </w:pPr>
      <w:r w:rsidRPr="00A22043">
        <w:rPr>
          <w:rFonts w:ascii="Arial" w:hAnsi="Arial" w:cs="Arial"/>
        </w:rPr>
        <w:t>Accreditation Association for Ambulatory Health Care (AAAHC);</w:t>
      </w:r>
    </w:p>
    <w:p w14:paraId="067287AF" w14:textId="77777777" w:rsidR="00E43043" w:rsidRPr="00A22043" w:rsidRDefault="00E43043" w:rsidP="00E43043">
      <w:pPr>
        <w:numPr>
          <w:ilvl w:val="0"/>
          <w:numId w:val="1"/>
        </w:numPr>
        <w:contextualSpacing/>
        <w:jc w:val="both"/>
        <w:rPr>
          <w:rFonts w:ascii="Arial" w:hAnsi="Arial" w:cs="Arial"/>
        </w:rPr>
      </w:pPr>
      <w:r w:rsidRPr="00A22043">
        <w:rPr>
          <w:rFonts w:ascii="Arial" w:hAnsi="Arial" w:cs="Arial"/>
        </w:rPr>
        <w:t>The Joint Commission (TJC); or,</w:t>
      </w:r>
    </w:p>
    <w:p w14:paraId="72CBFAE5" w14:textId="77777777" w:rsidR="00E43043" w:rsidRDefault="00E43043" w:rsidP="00E43043">
      <w:pPr>
        <w:numPr>
          <w:ilvl w:val="0"/>
          <w:numId w:val="1"/>
        </w:numPr>
        <w:spacing w:after="0"/>
        <w:contextualSpacing/>
        <w:jc w:val="both"/>
        <w:rPr>
          <w:rFonts w:ascii="Arial" w:hAnsi="Arial" w:cs="Arial"/>
        </w:rPr>
      </w:pPr>
      <w:r w:rsidRPr="00A22043">
        <w:rPr>
          <w:rFonts w:ascii="Arial" w:hAnsi="Arial" w:cs="Arial"/>
        </w:rPr>
        <w:t>Utilization Review Accreditation Commission (URAC)</w:t>
      </w:r>
      <w:r>
        <w:rPr>
          <w:rFonts w:ascii="Arial" w:hAnsi="Arial" w:cs="Arial"/>
        </w:rPr>
        <w:t>.</w:t>
      </w:r>
    </w:p>
    <w:bookmarkEnd w:id="0"/>
    <w:p w14:paraId="1FE516F5" w14:textId="51F14A3F" w:rsidR="00287A8D" w:rsidRDefault="00287A8D" w:rsidP="00287A8D">
      <w:pPr>
        <w:spacing w:after="0"/>
        <w:jc w:val="both"/>
        <w:rPr>
          <w:rFonts w:ascii="Arial" w:hAnsi="Arial" w:cs="Arial"/>
        </w:rPr>
      </w:pPr>
    </w:p>
    <w:p w14:paraId="30BA38CA" w14:textId="4E41A8F7" w:rsidR="00E43043" w:rsidRDefault="00E43043" w:rsidP="00287A8D">
      <w:pPr>
        <w:spacing w:after="0"/>
        <w:jc w:val="both"/>
        <w:rPr>
          <w:rFonts w:ascii="Arial" w:hAnsi="Arial" w:cs="Arial"/>
        </w:rPr>
      </w:pPr>
      <w:r>
        <w:rPr>
          <w:rFonts w:ascii="Arial" w:hAnsi="Arial" w:cs="Arial"/>
        </w:rPr>
        <w:t xml:space="preserve">Option 2: </w:t>
      </w:r>
      <w:r w:rsidRPr="00E43043">
        <w:rPr>
          <w:rFonts w:ascii="Arial" w:hAnsi="Arial" w:cs="Arial"/>
        </w:rPr>
        <w:t xml:space="preserve">The provider’s site with at least 50 panel members must achieve or exceed the benchmark for the following metrics. </w:t>
      </w:r>
      <w:r w:rsidRPr="001624EE">
        <w:rPr>
          <w:rFonts w:ascii="Arial" w:hAnsi="Arial" w:cs="Arial"/>
        </w:rPr>
        <w:t xml:space="preserve">NOTE - The NCQA requirements for at least 30 members in the denominator </w:t>
      </w:r>
      <w:r w:rsidR="00FF50D1">
        <w:rPr>
          <w:rFonts w:ascii="Arial" w:hAnsi="Arial" w:cs="Arial"/>
        </w:rPr>
        <w:t>do</w:t>
      </w:r>
      <w:r w:rsidR="00FF50D1" w:rsidRPr="001624EE">
        <w:rPr>
          <w:rFonts w:ascii="Arial" w:hAnsi="Arial" w:cs="Arial"/>
        </w:rPr>
        <w:t xml:space="preserve"> </w:t>
      </w:r>
      <w:r w:rsidRPr="001624EE">
        <w:rPr>
          <w:rFonts w:ascii="Arial" w:hAnsi="Arial" w:cs="Arial"/>
        </w:rPr>
        <w:t xml:space="preserve">not apply to the calculations for each of these measures.  However, if a provider does not have any members eligible for a measure, the provider must meet or exceed the benchmarks for the other measures.  For example, if a provider only serves patients &lt; 10 years of age, two of the nine measures, </w:t>
      </w:r>
      <w:r w:rsidR="00564374">
        <w:rPr>
          <w:rFonts w:ascii="Arial" w:hAnsi="Arial" w:cs="Arial"/>
        </w:rPr>
        <w:t>Child and Adolescent Well-Care Visits (12-17 yrs.) and Child and Adolescent Well-Care Visits (18-21 yrs.)</w:t>
      </w:r>
      <w:r w:rsidRPr="001624EE">
        <w:rPr>
          <w:rFonts w:ascii="Arial" w:hAnsi="Arial" w:cs="Arial"/>
        </w:rPr>
        <w:t>, would not apply and would not be reported; however, all other measures must meet or exceed the benchmark.</w:t>
      </w:r>
    </w:p>
    <w:p w14:paraId="5177ACC8" w14:textId="772C5A42" w:rsidR="00E43043" w:rsidRDefault="00E43043" w:rsidP="00287A8D">
      <w:pPr>
        <w:spacing w:after="0"/>
        <w:jc w:val="both"/>
        <w:rPr>
          <w:rFonts w:ascii="Arial" w:hAnsi="Arial" w:cs="Arial"/>
        </w:rPr>
      </w:pPr>
    </w:p>
    <w:p w14:paraId="7B8F7B80" w14:textId="4A81E27F" w:rsidR="00E43043" w:rsidRDefault="00E43043" w:rsidP="00287A8D">
      <w:pPr>
        <w:spacing w:after="0"/>
        <w:jc w:val="both"/>
        <w:rPr>
          <w:rFonts w:ascii="Arial" w:hAnsi="Arial" w:cs="Arial"/>
        </w:rPr>
      </w:pPr>
    </w:p>
    <w:p w14:paraId="73DB0BDC" w14:textId="3562DC13" w:rsidR="00E43043" w:rsidRDefault="00E43043" w:rsidP="00287A8D">
      <w:pPr>
        <w:spacing w:after="0"/>
        <w:jc w:val="both"/>
        <w:rPr>
          <w:rFonts w:ascii="Arial" w:hAnsi="Arial" w:cs="Arial"/>
        </w:rPr>
      </w:pPr>
    </w:p>
    <w:p w14:paraId="2CA1A723" w14:textId="5095A236" w:rsidR="00E43043" w:rsidRDefault="00E43043" w:rsidP="00287A8D">
      <w:pPr>
        <w:spacing w:after="0"/>
        <w:jc w:val="both"/>
        <w:rPr>
          <w:rFonts w:ascii="Arial" w:hAnsi="Arial" w:cs="Arial"/>
        </w:rPr>
      </w:pPr>
    </w:p>
    <w:tbl>
      <w:tblPr>
        <w:tblpPr w:leftFromText="180" w:rightFromText="180" w:vertAnchor="text" w:tblpXSpec="center" w:tblpY="1"/>
        <w:tblOverlap w:val="never"/>
        <w:tblW w:w="9340" w:type="dxa"/>
        <w:tblLook w:val="04A0" w:firstRow="1" w:lastRow="0" w:firstColumn="1" w:lastColumn="0" w:noHBand="0" w:noVBand="1"/>
      </w:tblPr>
      <w:tblGrid>
        <w:gridCol w:w="1866"/>
        <w:gridCol w:w="4244"/>
        <w:gridCol w:w="1643"/>
        <w:gridCol w:w="1587"/>
      </w:tblGrid>
      <w:tr w:rsidR="00E43043" w:rsidRPr="00ED1E85" w14:paraId="04439326" w14:textId="77777777" w:rsidTr="00B9530A">
        <w:trPr>
          <w:trHeight w:val="426"/>
        </w:trPr>
        <w:tc>
          <w:tcPr>
            <w:tcW w:w="93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956DC06" w14:textId="6C18F448" w:rsidR="00E43043" w:rsidRPr="003B6CC4" w:rsidRDefault="00131B39" w:rsidP="00FF5057">
            <w:pPr>
              <w:jc w:val="center"/>
              <w:rPr>
                <w:rFonts w:ascii="Arial" w:eastAsia="Times New Roman" w:hAnsi="Arial" w:cs="Arial"/>
                <w:b/>
                <w:bCs/>
                <w:color w:val="000000"/>
              </w:rPr>
            </w:pPr>
            <w:r w:rsidRPr="003B6CC4">
              <w:rPr>
                <w:rFonts w:ascii="Arial" w:eastAsia="Times New Roman" w:hAnsi="Arial" w:cs="Arial"/>
                <w:b/>
                <w:bCs/>
                <w:color w:val="000000"/>
              </w:rPr>
              <w:lastRenderedPageBreak/>
              <w:t xml:space="preserve">Agency </w:t>
            </w:r>
            <w:r w:rsidR="004F63AA" w:rsidRPr="003B6CC4">
              <w:rPr>
                <w:rFonts w:ascii="Arial" w:eastAsia="Times New Roman" w:hAnsi="Arial" w:cs="Arial"/>
                <w:b/>
                <w:bCs/>
                <w:color w:val="000000"/>
              </w:rPr>
              <w:t xml:space="preserve">MPIP </w:t>
            </w:r>
            <w:r w:rsidR="00E43043" w:rsidRPr="003B6CC4">
              <w:rPr>
                <w:rFonts w:ascii="Arial" w:eastAsia="Times New Roman" w:hAnsi="Arial" w:cs="Arial"/>
                <w:b/>
                <w:bCs/>
                <w:color w:val="000000"/>
              </w:rPr>
              <w:t>Qualifications for Pediatric Primary Care Physicians</w:t>
            </w:r>
          </w:p>
        </w:tc>
      </w:tr>
      <w:tr w:rsidR="00E43043" w:rsidRPr="00ED1E85" w14:paraId="060126B2" w14:textId="77777777" w:rsidTr="00B9530A">
        <w:trPr>
          <w:trHeight w:val="901"/>
        </w:trPr>
        <w:tc>
          <w:tcPr>
            <w:tcW w:w="18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70B86D" w14:textId="77777777" w:rsidR="00E43043" w:rsidRPr="00E32CA7" w:rsidRDefault="00E43043" w:rsidP="00FF5057">
            <w:pPr>
              <w:jc w:val="center"/>
              <w:rPr>
                <w:rFonts w:ascii="Arial" w:eastAsia="Times New Roman" w:hAnsi="Arial" w:cs="Arial"/>
                <w:b/>
                <w:bCs/>
                <w:color w:val="000000"/>
              </w:rPr>
            </w:pPr>
            <w:r w:rsidRPr="00E32CA7">
              <w:rPr>
                <w:rFonts w:ascii="Arial" w:eastAsia="Times New Roman" w:hAnsi="Arial" w:cs="Arial"/>
                <w:b/>
                <w:bCs/>
                <w:color w:val="000000"/>
              </w:rPr>
              <w:t>Measure</w:t>
            </w:r>
          </w:p>
        </w:tc>
        <w:tc>
          <w:tcPr>
            <w:tcW w:w="4244" w:type="dxa"/>
            <w:tcBorders>
              <w:top w:val="single" w:sz="8" w:space="0" w:color="auto"/>
              <w:left w:val="nil"/>
              <w:bottom w:val="single" w:sz="8" w:space="0" w:color="auto"/>
              <w:right w:val="single" w:sz="8" w:space="0" w:color="auto"/>
            </w:tcBorders>
            <w:shd w:val="clear" w:color="auto" w:fill="auto"/>
            <w:noWrap/>
            <w:vAlign w:val="center"/>
            <w:hideMark/>
          </w:tcPr>
          <w:p w14:paraId="125FFA1A" w14:textId="77777777" w:rsidR="00E43043" w:rsidRPr="00E32CA7" w:rsidRDefault="00E43043" w:rsidP="00FF5057">
            <w:pPr>
              <w:jc w:val="center"/>
              <w:rPr>
                <w:rFonts w:ascii="Arial" w:eastAsia="Times New Roman" w:hAnsi="Arial" w:cs="Arial"/>
                <w:b/>
                <w:bCs/>
                <w:color w:val="000000"/>
              </w:rPr>
            </w:pPr>
            <w:r w:rsidRPr="00E32CA7">
              <w:rPr>
                <w:rFonts w:ascii="Arial" w:eastAsia="Times New Roman" w:hAnsi="Arial" w:cs="Arial"/>
                <w:b/>
                <w:bCs/>
                <w:color w:val="000000"/>
              </w:rPr>
              <w:t xml:space="preserve">Measure Description </w:t>
            </w:r>
          </w:p>
          <w:p w14:paraId="070A7C62" w14:textId="2888D6E4" w:rsidR="00E43043" w:rsidRPr="00E32CA7" w:rsidRDefault="00E43043" w:rsidP="00FF5057">
            <w:pPr>
              <w:jc w:val="center"/>
              <w:rPr>
                <w:rFonts w:ascii="Arial" w:eastAsia="Times New Roman" w:hAnsi="Arial" w:cs="Arial"/>
                <w:bCs/>
                <w:color w:val="000000"/>
              </w:rPr>
            </w:pPr>
            <w:r w:rsidRPr="00E32CA7">
              <w:rPr>
                <w:rFonts w:ascii="Arial" w:eastAsia="Times New Roman" w:hAnsi="Arial" w:cs="Arial"/>
                <w:bCs/>
                <w:color w:val="000000"/>
              </w:rPr>
              <w:t xml:space="preserve">(HEDIS </w:t>
            </w:r>
            <w:r w:rsidR="009C4A0F" w:rsidRPr="00E32CA7">
              <w:rPr>
                <w:rFonts w:ascii="Arial" w:eastAsia="Times New Roman" w:hAnsi="Arial" w:cs="Arial"/>
                <w:bCs/>
                <w:color w:val="000000"/>
              </w:rPr>
              <w:t xml:space="preserve">Measurement Year </w:t>
            </w:r>
            <w:r w:rsidRPr="00E32CA7">
              <w:rPr>
                <w:rFonts w:ascii="Arial" w:eastAsia="Times New Roman" w:hAnsi="Arial" w:cs="Arial"/>
                <w:bCs/>
                <w:color w:val="000000"/>
              </w:rPr>
              <w:t>202</w:t>
            </w:r>
            <w:r w:rsidR="002F2D5F" w:rsidRPr="00E32CA7">
              <w:rPr>
                <w:rFonts w:ascii="Arial" w:eastAsia="Times New Roman" w:hAnsi="Arial" w:cs="Arial"/>
                <w:bCs/>
                <w:color w:val="000000"/>
              </w:rPr>
              <w:t>2</w:t>
            </w:r>
            <w:r w:rsidRPr="00E32CA7">
              <w:rPr>
                <w:rFonts w:ascii="Arial" w:eastAsia="Times New Roman" w:hAnsi="Arial" w:cs="Arial"/>
                <w:bCs/>
                <w:color w:val="000000"/>
              </w:rPr>
              <w:t xml:space="preserve"> specifications)</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14:paraId="38527346" w14:textId="108CBEC7" w:rsidR="00E43043" w:rsidRPr="00E32CA7" w:rsidRDefault="009C4A0F" w:rsidP="00FF5057">
            <w:pPr>
              <w:jc w:val="center"/>
              <w:rPr>
                <w:rFonts w:ascii="Arial" w:eastAsia="Times New Roman" w:hAnsi="Arial" w:cs="Arial"/>
                <w:b/>
                <w:bCs/>
                <w:color w:val="000000"/>
              </w:rPr>
            </w:pPr>
            <w:r w:rsidRPr="00E32CA7">
              <w:rPr>
                <w:rFonts w:ascii="Arial" w:eastAsia="Times New Roman" w:hAnsi="Arial" w:cs="Arial"/>
                <w:b/>
                <w:bCs/>
                <w:color w:val="000000"/>
              </w:rPr>
              <w:t xml:space="preserve">HEDIS </w:t>
            </w:r>
            <w:r w:rsidR="00E43043" w:rsidRPr="00E32CA7">
              <w:rPr>
                <w:rFonts w:ascii="Arial" w:eastAsia="Times New Roman" w:hAnsi="Arial" w:cs="Arial"/>
                <w:b/>
                <w:bCs/>
                <w:color w:val="000000"/>
              </w:rPr>
              <w:t xml:space="preserve">Measurement </w:t>
            </w:r>
            <w:r w:rsidRPr="00E32CA7">
              <w:rPr>
                <w:rFonts w:ascii="Arial" w:eastAsia="Times New Roman" w:hAnsi="Arial" w:cs="Arial"/>
                <w:b/>
                <w:bCs/>
                <w:color w:val="000000"/>
              </w:rPr>
              <w:t xml:space="preserve">Year </w:t>
            </w:r>
          </w:p>
        </w:tc>
        <w:tc>
          <w:tcPr>
            <w:tcW w:w="1587" w:type="dxa"/>
            <w:tcBorders>
              <w:top w:val="single" w:sz="8" w:space="0" w:color="auto"/>
              <w:left w:val="nil"/>
              <w:bottom w:val="single" w:sz="8" w:space="0" w:color="auto"/>
              <w:right w:val="single" w:sz="8" w:space="0" w:color="auto"/>
            </w:tcBorders>
            <w:shd w:val="clear" w:color="auto" w:fill="auto"/>
            <w:noWrap/>
            <w:vAlign w:val="center"/>
            <w:hideMark/>
          </w:tcPr>
          <w:p w14:paraId="4E1D1CB2" w14:textId="77777777" w:rsidR="00E43043" w:rsidRPr="00E32CA7" w:rsidRDefault="00E43043" w:rsidP="00FF5057">
            <w:pPr>
              <w:jc w:val="center"/>
              <w:rPr>
                <w:rFonts w:ascii="Arial" w:eastAsia="Times New Roman" w:hAnsi="Arial" w:cs="Arial"/>
                <w:b/>
                <w:bCs/>
                <w:color w:val="000000"/>
              </w:rPr>
            </w:pPr>
            <w:r w:rsidRPr="00E32CA7">
              <w:rPr>
                <w:rFonts w:ascii="Arial" w:eastAsia="Times New Roman" w:hAnsi="Arial" w:cs="Arial"/>
                <w:b/>
                <w:bCs/>
                <w:color w:val="000000"/>
              </w:rPr>
              <w:t>Benchmark</w:t>
            </w:r>
          </w:p>
          <w:p w14:paraId="4DE2B174" w14:textId="77777777" w:rsidR="00E43043" w:rsidRPr="00E32CA7" w:rsidRDefault="00E43043" w:rsidP="00FF5057">
            <w:pPr>
              <w:rPr>
                <w:rFonts w:ascii="Arial" w:eastAsia="Times New Roman" w:hAnsi="Arial" w:cs="Arial"/>
              </w:rPr>
            </w:pPr>
          </w:p>
          <w:p w14:paraId="0CBE9259" w14:textId="77777777" w:rsidR="00E43043" w:rsidRPr="00E32CA7" w:rsidRDefault="00E43043" w:rsidP="00FF5057">
            <w:pPr>
              <w:rPr>
                <w:rFonts w:ascii="Arial" w:eastAsia="Times New Roman" w:hAnsi="Arial" w:cs="Arial"/>
              </w:rPr>
            </w:pPr>
          </w:p>
        </w:tc>
      </w:tr>
      <w:tr w:rsidR="00E43043" w:rsidRPr="00ED1E85" w14:paraId="6F8995F4" w14:textId="77777777" w:rsidTr="00B9530A">
        <w:trPr>
          <w:trHeight w:val="1540"/>
        </w:trPr>
        <w:tc>
          <w:tcPr>
            <w:tcW w:w="1866" w:type="dxa"/>
            <w:tcBorders>
              <w:top w:val="nil"/>
              <w:left w:val="single" w:sz="8" w:space="0" w:color="auto"/>
              <w:bottom w:val="single" w:sz="8" w:space="0" w:color="auto"/>
              <w:right w:val="single" w:sz="8" w:space="0" w:color="auto"/>
            </w:tcBorders>
            <w:shd w:val="clear" w:color="auto" w:fill="auto"/>
            <w:vAlign w:val="center"/>
          </w:tcPr>
          <w:p w14:paraId="75361D47" w14:textId="4633C9B8" w:rsidR="00E43043" w:rsidRPr="00E32CA7" w:rsidRDefault="002F2D5F" w:rsidP="00E43043">
            <w:pPr>
              <w:rPr>
                <w:rFonts w:ascii="Arial" w:eastAsia="Times New Roman" w:hAnsi="Arial" w:cs="Arial"/>
                <w:color w:val="000000"/>
              </w:rPr>
            </w:pPr>
            <w:r w:rsidRPr="00E32CA7">
              <w:rPr>
                <w:rFonts w:ascii="Arial" w:eastAsia="Times New Roman" w:hAnsi="Arial" w:cs="Arial"/>
                <w:color w:val="000000" w:themeColor="text1"/>
              </w:rPr>
              <w:t>Child and Adolescent Well-Care Visits (3-21 yrs.)</w:t>
            </w:r>
          </w:p>
        </w:tc>
        <w:tc>
          <w:tcPr>
            <w:tcW w:w="4244" w:type="dxa"/>
            <w:tcBorders>
              <w:top w:val="nil"/>
              <w:left w:val="nil"/>
              <w:bottom w:val="single" w:sz="8" w:space="0" w:color="auto"/>
              <w:right w:val="single" w:sz="8" w:space="0" w:color="auto"/>
            </w:tcBorders>
            <w:shd w:val="clear" w:color="auto" w:fill="auto"/>
            <w:vAlign w:val="center"/>
          </w:tcPr>
          <w:p w14:paraId="380E29D9" w14:textId="7BC101E1" w:rsidR="00E43043" w:rsidRPr="00E32CA7" w:rsidRDefault="002F2D5F" w:rsidP="002F2D5F">
            <w:pPr>
              <w:rPr>
                <w:rFonts w:ascii="Arial" w:eastAsia="Times New Roman" w:hAnsi="Arial" w:cs="Arial"/>
                <w:color w:val="000000" w:themeColor="text1"/>
              </w:rPr>
            </w:pPr>
            <w:r w:rsidRPr="00E32CA7">
              <w:rPr>
                <w:rFonts w:ascii="Arial" w:eastAsia="Times New Roman" w:hAnsi="Arial" w:cs="Arial"/>
                <w:color w:val="000000" w:themeColor="text1"/>
              </w:rPr>
              <w:t>Percentage of members 3–21 years of age who had at least one comprehensive well-care visit with a PCP or an OB/GYN practitioner during the measurement year.</w:t>
            </w:r>
          </w:p>
        </w:tc>
        <w:tc>
          <w:tcPr>
            <w:tcW w:w="1643" w:type="dxa"/>
            <w:tcBorders>
              <w:top w:val="nil"/>
              <w:left w:val="nil"/>
              <w:bottom w:val="single" w:sz="8" w:space="0" w:color="auto"/>
              <w:right w:val="single" w:sz="8" w:space="0" w:color="auto"/>
            </w:tcBorders>
            <w:shd w:val="clear" w:color="auto" w:fill="auto"/>
            <w:vAlign w:val="center"/>
          </w:tcPr>
          <w:p w14:paraId="126849D1" w14:textId="027F846E" w:rsidR="00E43043" w:rsidRPr="00E32CA7" w:rsidRDefault="009C4A0F" w:rsidP="00E43043">
            <w:pPr>
              <w:jc w:val="center"/>
              <w:rPr>
                <w:rFonts w:ascii="Arial" w:eastAsia="Times New Roman" w:hAnsi="Arial" w:cs="Arial"/>
                <w:color w:val="000000"/>
              </w:rPr>
            </w:pPr>
            <w:r w:rsidRPr="00E32CA7">
              <w:rPr>
                <w:rFonts w:ascii="Arial" w:eastAsia="Times New Roman" w:hAnsi="Arial" w:cs="Arial"/>
                <w:color w:val="000000"/>
              </w:rPr>
              <w:t xml:space="preserve"> 2022</w:t>
            </w:r>
          </w:p>
        </w:tc>
        <w:tc>
          <w:tcPr>
            <w:tcW w:w="1587" w:type="dxa"/>
            <w:tcBorders>
              <w:top w:val="nil"/>
              <w:left w:val="nil"/>
              <w:bottom w:val="single" w:sz="8" w:space="0" w:color="auto"/>
              <w:right w:val="single" w:sz="8" w:space="0" w:color="auto"/>
            </w:tcBorders>
            <w:shd w:val="clear" w:color="auto" w:fill="auto"/>
            <w:vAlign w:val="center"/>
          </w:tcPr>
          <w:p w14:paraId="45E4A48D" w14:textId="710822E9" w:rsidR="00E43043" w:rsidRPr="00E32CA7" w:rsidRDefault="009C4A0F" w:rsidP="00E43043">
            <w:pPr>
              <w:jc w:val="center"/>
              <w:rPr>
                <w:rFonts w:ascii="Arial" w:eastAsia="Times New Roman" w:hAnsi="Arial" w:cs="Arial"/>
                <w:color w:val="000000"/>
              </w:rPr>
            </w:pPr>
            <w:r w:rsidRPr="00E32CA7">
              <w:rPr>
                <w:rFonts w:ascii="Arial" w:eastAsia="Times New Roman" w:hAnsi="Arial" w:cs="Arial"/>
                <w:color w:val="000000"/>
              </w:rPr>
              <w:t>55.59</w:t>
            </w:r>
            <w:r w:rsidR="002F2D5F" w:rsidRPr="00E32CA7">
              <w:rPr>
                <w:rFonts w:ascii="Arial" w:eastAsia="Times New Roman" w:hAnsi="Arial" w:cs="Arial"/>
                <w:color w:val="000000"/>
              </w:rPr>
              <w:t>%</w:t>
            </w:r>
          </w:p>
        </w:tc>
      </w:tr>
      <w:tr w:rsidR="00E43043" w:rsidRPr="00ED1E85" w14:paraId="7CFDD29D" w14:textId="77777777" w:rsidTr="00B9530A">
        <w:trPr>
          <w:trHeight w:val="523"/>
        </w:trPr>
        <w:tc>
          <w:tcPr>
            <w:tcW w:w="1866" w:type="dxa"/>
            <w:tcBorders>
              <w:top w:val="nil"/>
              <w:left w:val="single" w:sz="8" w:space="0" w:color="auto"/>
              <w:bottom w:val="single" w:sz="8" w:space="0" w:color="auto"/>
              <w:right w:val="single" w:sz="8" w:space="0" w:color="auto"/>
            </w:tcBorders>
            <w:shd w:val="clear" w:color="auto" w:fill="auto"/>
            <w:vAlign w:val="center"/>
          </w:tcPr>
          <w:p w14:paraId="0C4A9E97" w14:textId="09B616D6" w:rsidR="00E43043" w:rsidRPr="00E32CA7" w:rsidRDefault="002F2D5F" w:rsidP="00E43043">
            <w:pPr>
              <w:rPr>
                <w:rFonts w:ascii="Arial" w:eastAsia="Times New Roman" w:hAnsi="Arial" w:cs="Arial"/>
                <w:color w:val="000000"/>
              </w:rPr>
            </w:pPr>
            <w:r w:rsidRPr="00E32CA7">
              <w:rPr>
                <w:rFonts w:ascii="Arial" w:eastAsia="Times New Roman" w:hAnsi="Arial" w:cs="Arial"/>
                <w:color w:val="000000" w:themeColor="text1"/>
              </w:rPr>
              <w:t>Child and Adolescent Well-Care Visits (3-11 yrs.)</w:t>
            </w:r>
          </w:p>
        </w:tc>
        <w:tc>
          <w:tcPr>
            <w:tcW w:w="4244" w:type="dxa"/>
            <w:tcBorders>
              <w:top w:val="nil"/>
              <w:left w:val="nil"/>
              <w:bottom w:val="single" w:sz="8" w:space="0" w:color="auto"/>
              <w:right w:val="single" w:sz="8" w:space="0" w:color="auto"/>
            </w:tcBorders>
            <w:shd w:val="clear" w:color="auto" w:fill="auto"/>
            <w:vAlign w:val="center"/>
          </w:tcPr>
          <w:p w14:paraId="25B2BE87" w14:textId="51AD18AC" w:rsidR="00E43043" w:rsidRPr="00E32CA7" w:rsidRDefault="002F2D5F" w:rsidP="002F2D5F">
            <w:pPr>
              <w:rPr>
                <w:rFonts w:ascii="Arial" w:eastAsia="Times New Roman" w:hAnsi="Arial" w:cs="Arial"/>
                <w:color w:val="000000"/>
              </w:rPr>
            </w:pPr>
            <w:r w:rsidRPr="00E32CA7">
              <w:rPr>
                <w:rFonts w:ascii="Arial" w:eastAsia="Times New Roman" w:hAnsi="Arial" w:cs="Arial"/>
                <w:color w:val="000000"/>
              </w:rPr>
              <w:t>Percentage of members 3–11 years of age who had at least one comprehensive well-care visit with a PCP or an OB/GYN practitioner during the measurement year.</w:t>
            </w:r>
          </w:p>
        </w:tc>
        <w:tc>
          <w:tcPr>
            <w:tcW w:w="1643" w:type="dxa"/>
            <w:tcBorders>
              <w:top w:val="nil"/>
              <w:left w:val="nil"/>
              <w:bottom w:val="single" w:sz="8" w:space="0" w:color="auto"/>
              <w:right w:val="single" w:sz="8" w:space="0" w:color="auto"/>
            </w:tcBorders>
            <w:shd w:val="clear" w:color="auto" w:fill="auto"/>
            <w:vAlign w:val="center"/>
          </w:tcPr>
          <w:p w14:paraId="5544194F" w14:textId="60303244" w:rsidR="00E43043" w:rsidRPr="00E32CA7" w:rsidRDefault="009C4A0F" w:rsidP="00E43043">
            <w:pPr>
              <w:jc w:val="center"/>
              <w:rPr>
                <w:rFonts w:ascii="Arial" w:eastAsia="Times New Roman" w:hAnsi="Arial" w:cs="Arial"/>
                <w:color w:val="000000"/>
              </w:rPr>
            </w:pPr>
            <w:r w:rsidRPr="00E32CA7">
              <w:rPr>
                <w:rFonts w:ascii="Arial" w:eastAsia="Times New Roman" w:hAnsi="Arial" w:cs="Arial"/>
                <w:color w:val="000000"/>
              </w:rPr>
              <w:t>HEDIS 2022</w:t>
            </w:r>
          </w:p>
        </w:tc>
        <w:tc>
          <w:tcPr>
            <w:tcW w:w="1587" w:type="dxa"/>
            <w:tcBorders>
              <w:top w:val="nil"/>
              <w:left w:val="nil"/>
              <w:bottom w:val="single" w:sz="8" w:space="0" w:color="auto"/>
              <w:right w:val="single" w:sz="8" w:space="0" w:color="auto"/>
            </w:tcBorders>
            <w:shd w:val="clear" w:color="auto" w:fill="auto"/>
            <w:vAlign w:val="center"/>
          </w:tcPr>
          <w:p w14:paraId="308BC47E" w14:textId="34054195" w:rsidR="00E43043" w:rsidRPr="00E32CA7" w:rsidRDefault="009C4A0F" w:rsidP="00E43043">
            <w:pPr>
              <w:jc w:val="center"/>
              <w:rPr>
                <w:rFonts w:ascii="Arial" w:eastAsia="Times New Roman" w:hAnsi="Arial" w:cs="Arial"/>
                <w:color w:val="000000"/>
              </w:rPr>
            </w:pPr>
            <w:r w:rsidRPr="00E32CA7">
              <w:rPr>
                <w:rFonts w:ascii="Arial" w:eastAsia="Times New Roman" w:hAnsi="Arial" w:cs="Arial"/>
                <w:color w:val="000000"/>
              </w:rPr>
              <w:t>62.24</w:t>
            </w:r>
            <w:r w:rsidR="002F2D5F" w:rsidRPr="00E32CA7">
              <w:rPr>
                <w:rFonts w:ascii="Arial" w:eastAsia="Times New Roman" w:hAnsi="Arial" w:cs="Arial"/>
                <w:color w:val="000000"/>
              </w:rPr>
              <w:t>%</w:t>
            </w:r>
          </w:p>
        </w:tc>
      </w:tr>
      <w:tr w:rsidR="00E43043" w:rsidRPr="00ED1E85" w14:paraId="5AD540C3" w14:textId="77777777" w:rsidTr="00B9530A">
        <w:trPr>
          <w:trHeight w:val="433"/>
        </w:trPr>
        <w:tc>
          <w:tcPr>
            <w:tcW w:w="1866" w:type="dxa"/>
            <w:tcBorders>
              <w:top w:val="nil"/>
              <w:left w:val="single" w:sz="8" w:space="0" w:color="auto"/>
              <w:bottom w:val="single" w:sz="8" w:space="0" w:color="auto"/>
              <w:right w:val="single" w:sz="8" w:space="0" w:color="auto"/>
            </w:tcBorders>
            <w:shd w:val="clear" w:color="auto" w:fill="auto"/>
            <w:vAlign w:val="center"/>
          </w:tcPr>
          <w:p w14:paraId="3085BDC2" w14:textId="4E50DBBD" w:rsidR="00E43043" w:rsidRPr="009E7CF5" w:rsidRDefault="002F2D5F" w:rsidP="00E43043">
            <w:pPr>
              <w:rPr>
                <w:rFonts w:ascii="Arial" w:eastAsia="Times New Roman" w:hAnsi="Arial" w:cs="Arial"/>
                <w:color w:val="000000"/>
              </w:rPr>
            </w:pPr>
            <w:r w:rsidRPr="009E7CF5">
              <w:rPr>
                <w:rFonts w:ascii="Arial" w:eastAsia="Times New Roman" w:hAnsi="Arial" w:cs="Arial"/>
                <w:color w:val="000000" w:themeColor="text1"/>
              </w:rPr>
              <w:t>Child and Adolescent Well-Care Visits (12-17 yrs.)</w:t>
            </w:r>
          </w:p>
        </w:tc>
        <w:tc>
          <w:tcPr>
            <w:tcW w:w="4244" w:type="dxa"/>
            <w:tcBorders>
              <w:top w:val="nil"/>
              <w:left w:val="nil"/>
              <w:bottom w:val="single" w:sz="8" w:space="0" w:color="auto"/>
              <w:right w:val="single" w:sz="8" w:space="0" w:color="auto"/>
            </w:tcBorders>
            <w:shd w:val="clear" w:color="auto" w:fill="auto"/>
            <w:vAlign w:val="center"/>
          </w:tcPr>
          <w:p w14:paraId="15CD8489" w14:textId="07CA6944" w:rsidR="00E43043" w:rsidRPr="009E7CF5" w:rsidRDefault="002F2D5F" w:rsidP="002F2D5F">
            <w:pPr>
              <w:rPr>
                <w:rFonts w:ascii="Arial" w:eastAsia="Times New Roman" w:hAnsi="Arial" w:cs="Arial"/>
                <w:color w:val="000000"/>
              </w:rPr>
            </w:pPr>
            <w:r w:rsidRPr="009E7CF5">
              <w:rPr>
                <w:rFonts w:ascii="Arial" w:eastAsia="Times New Roman" w:hAnsi="Arial" w:cs="Arial"/>
                <w:color w:val="000000"/>
              </w:rPr>
              <w:t>Percentage of members 12-17 years of age who had at least one comprehensive well-care visit with a PCP or an OB/GYN practitioner during the measurement year.</w:t>
            </w:r>
          </w:p>
        </w:tc>
        <w:tc>
          <w:tcPr>
            <w:tcW w:w="1643" w:type="dxa"/>
            <w:tcBorders>
              <w:top w:val="nil"/>
              <w:left w:val="nil"/>
              <w:bottom w:val="single" w:sz="8" w:space="0" w:color="auto"/>
              <w:right w:val="single" w:sz="8" w:space="0" w:color="auto"/>
            </w:tcBorders>
            <w:shd w:val="clear" w:color="auto" w:fill="auto"/>
            <w:vAlign w:val="center"/>
          </w:tcPr>
          <w:p w14:paraId="08623312" w14:textId="48B1B3AA"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2022</w:t>
            </w:r>
          </w:p>
        </w:tc>
        <w:tc>
          <w:tcPr>
            <w:tcW w:w="1587" w:type="dxa"/>
            <w:tcBorders>
              <w:top w:val="nil"/>
              <w:left w:val="nil"/>
              <w:bottom w:val="single" w:sz="8" w:space="0" w:color="auto"/>
              <w:right w:val="single" w:sz="8" w:space="0" w:color="auto"/>
            </w:tcBorders>
            <w:shd w:val="clear" w:color="auto" w:fill="auto"/>
            <w:vAlign w:val="center"/>
          </w:tcPr>
          <w:p w14:paraId="3A4DEEF7" w14:textId="644665FC"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53.71</w:t>
            </w:r>
            <w:r w:rsidR="002F2D5F" w:rsidRPr="009E7CF5">
              <w:rPr>
                <w:rFonts w:ascii="Arial" w:eastAsia="Times New Roman" w:hAnsi="Arial" w:cs="Arial"/>
                <w:color w:val="000000"/>
              </w:rPr>
              <w:t>%</w:t>
            </w:r>
          </w:p>
        </w:tc>
      </w:tr>
      <w:tr w:rsidR="00E43043" w:rsidRPr="00ED1E85" w14:paraId="0131F1A8" w14:textId="77777777" w:rsidTr="00B9530A">
        <w:trPr>
          <w:trHeight w:val="442"/>
        </w:trPr>
        <w:tc>
          <w:tcPr>
            <w:tcW w:w="1866" w:type="dxa"/>
            <w:tcBorders>
              <w:top w:val="nil"/>
              <w:left w:val="single" w:sz="8" w:space="0" w:color="auto"/>
              <w:bottom w:val="single" w:sz="8" w:space="0" w:color="auto"/>
              <w:right w:val="single" w:sz="8" w:space="0" w:color="auto"/>
            </w:tcBorders>
            <w:shd w:val="clear" w:color="auto" w:fill="auto"/>
            <w:vAlign w:val="center"/>
          </w:tcPr>
          <w:p w14:paraId="42225A2C" w14:textId="44E6C22F" w:rsidR="00E43043" w:rsidRPr="009E7CF5" w:rsidRDefault="002F2D5F" w:rsidP="00E43043">
            <w:pPr>
              <w:rPr>
                <w:rFonts w:ascii="Arial" w:eastAsia="Times New Roman" w:hAnsi="Arial" w:cs="Arial"/>
                <w:color w:val="000000"/>
              </w:rPr>
            </w:pPr>
            <w:r w:rsidRPr="009E7CF5">
              <w:rPr>
                <w:rFonts w:ascii="Arial" w:eastAsia="Times New Roman" w:hAnsi="Arial" w:cs="Arial"/>
                <w:color w:val="000000"/>
              </w:rPr>
              <w:t>Child and Adolescent Well-Care Visits (18-21 yrs.)</w:t>
            </w:r>
          </w:p>
        </w:tc>
        <w:tc>
          <w:tcPr>
            <w:tcW w:w="4244" w:type="dxa"/>
            <w:tcBorders>
              <w:top w:val="nil"/>
              <w:left w:val="nil"/>
              <w:bottom w:val="single" w:sz="8" w:space="0" w:color="auto"/>
              <w:right w:val="single" w:sz="8" w:space="0" w:color="auto"/>
            </w:tcBorders>
            <w:shd w:val="clear" w:color="auto" w:fill="auto"/>
            <w:vAlign w:val="center"/>
          </w:tcPr>
          <w:p w14:paraId="3AEA21F3" w14:textId="24D6697F" w:rsidR="00E43043" w:rsidRPr="009E7CF5" w:rsidRDefault="002F2D5F" w:rsidP="002F2D5F">
            <w:pPr>
              <w:rPr>
                <w:rFonts w:ascii="Arial" w:eastAsia="Times New Roman" w:hAnsi="Arial" w:cs="Arial"/>
                <w:color w:val="000000"/>
              </w:rPr>
            </w:pPr>
            <w:r w:rsidRPr="009E7CF5">
              <w:rPr>
                <w:rFonts w:ascii="Arial" w:eastAsia="Times New Roman" w:hAnsi="Arial" w:cs="Arial"/>
                <w:color w:val="000000"/>
              </w:rPr>
              <w:t>Percentage of members 18-21 years of age who had at least one comprehensive well-care visit with a PCP or an OB/GYN practitioner during the measurement year.</w:t>
            </w:r>
          </w:p>
        </w:tc>
        <w:tc>
          <w:tcPr>
            <w:tcW w:w="1643" w:type="dxa"/>
            <w:tcBorders>
              <w:top w:val="nil"/>
              <w:left w:val="nil"/>
              <w:bottom w:val="single" w:sz="8" w:space="0" w:color="auto"/>
              <w:right w:val="single" w:sz="8" w:space="0" w:color="auto"/>
            </w:tcBorders>
            <w:shd w:val="clear" w:color="auto" w:fill="auto"/>
            <w:vAlign w:val="center"/>
          </w:tcPr>
          <w:p w14:paraId="43254A8F" w14:textId="7BC35D98"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 xml:space="preserve"> 2022</w:t>
            </w:r>
          </w:p>
        </w:tc>
        <w:tc>
          <w:tcPr>
            <w:tcW w:w="1587" w:type="dxa"/>
            <w:tcBorders>
              <w:top w:val="nil"/>
              <w:left w:val="nil"/>
              <w:bottom w:val="single" w:sz="8" w:space="0" w:color="auto"/>
              <w:right w:val="single" w:sz="8" w:space="0" w:color="auto"/>
            </w:tcBorders>
            <w:shd w:val="clear" w:color="auto" w:fill="auto"/>
            <w:vAlign w:val="center"/>
          </w:tcPr>
          <w:p w14:paraId="08AA1D47" w14:textId="10EA8363"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27.94</w:t>
            </w:r>
            <w:r w:rsidR="002F2D5F" w:rsidRPr="009E7CF5">
              <w:rPr>
                <w:rFonts w:ascii="Arial" w:eastAsia="Times New Roman" w:hAnsi="Arial" w:cs="Arial"/>
                <w:color w:val="000000"/>
              </w:rPr>
              <w:t>%</w:t>
            </w:r>
          </w:p>
        </w:tc>
      </w:tr>
      <w:tr w:rsidR="00E43043" w:rsidRPr="00ED1E85" w14:paraId="6E70003A" w14:textId="77777777" w:rsidTr="00B9530A">
        <w:trPr>
          <w:trHeight w:val="460"/>
        </w:trPr>
        <w:tc>
          <w:tcPr>
            <w:tcW w:w="1866" w:type="dxa"/>
            <w:tcBorders>
              <w:top w:val="nil"/>
              <w:left w:val="single" w:sz="8" w:space="0" w:color="auto"/>
              <w:bottom w:val="single" w:sz="8" w:space="0" w:color="auto"/>
              <w:right w:val="single" w:sz="8" w:space="0" w:color="auto"/>
            </w:tcBorders>
            <w:shd w:val="clear" w:color="auto" w:fill="auto"/>
            <w:vAlign w:val="center"/>
          </w:tcPr>
          <w:p w14:paraId="74106ABB" w14:textId="6220E525" w:rsidR="00E43043" w:rsidRPr="009E7CF5" w:rsidRDefault="002F2D5F" w:rsidP="00E43043">
            <w:pPr>
              <w:rPr>
                <w:rFonts w:ascii="Arial" w:eastAsia="Times New Roman" w:hAnsi="Arial" w:cs="Arial"/>
                <w:color w:val="000000"/>
              </w:rPr>
            </w:pPr>
            <w:r w:rsidRPr="009E7CF5">
              <w:rPr>
                <w:rFonts w:ascii="Arial" w:eastAsia="Times New Roman" w:hAnsi="Arial" w:cs="Arial"/>
                <w:color w:val="000000" w:themeColor="text1"/>
              </w:rPr>
              <w:t>Well Child Visits in the First 30 Mos. (0-15 mos.) – 6 or more visits</w:t>
            </w:r>
          </w:p>
        </w:tc>
        <w:tc>
          <w:tcPr>
            <w:tcW w:w="4244" w:type="dxa"/>
            <w:tcBorders>
              <w:top w:val="nil"/>
              <w:left w:val="nil"/>
              <w:bottom w:val="single" w:sz="8" w:space="0" w:color="auto"/>
              <w:right w:val="single" w:sz="8" w:space="0" w:color="auto"/>
            </w:tcBorders>
            <w:shd w:val="clear" w:color="auto" w:fill="auto"/>
            <w:vAlign w:val="center"/>
          </w:tcPr>
          <w:p w14:paraId="34DB8AB0" w14:textId="268775C3" w:rsidR="00E43043" w:rsidRPr="009E7CF5" w:rsidRDefault="002F2D5F" w:rsidP="00E43043">
            <w:pPr>
              <w:rPr>
                <w:rFonts w:ascii="Arial" w:eastAsia="Times New Roman" w:hAnsi="Arial" w:cs="Arial"/>
                <w:color w:val="000000"/>
              </w:rPr>
            </w:pPr>
            <w:r w:rsidRPr="009E7CF5">
              <w:rPr>
                <w:rFonts w:ascii="Arial" w:eastAsia="Times New Roman" w:hAnsi="Arial" w:cs="Arial"/>
                <w:color w:val="000000"/>
              </w:rPr>
              <w:t>Percentage of members who had the following number of well-child visits with a PCP for Age 0 Months–15 Months: six or more visits</w:t>
            </w:r>
          </w:p>
        </w:tc>
        <w:tc>
          <w:tcPr>
            <w:tcW w:w="1643" w:type="dxa"/>
            <w:tcBorders>
              <w:top w:val="nil"/>
              <w:left w:val="nil"/>
              <w:bottom w:val="single" w:sz="8" w:space="0" w:color="auto"/>
              <w:right w:val="single" w:sz="8" w:space="0" w:color="auto"/>
            </w:tcBorders>
            <w:shd w:val="clear" w:color="auto" w:fill="auto"/>
            <w:vAlign w:val="center"/>
          </w:tcPr>
          <w:p w14:paraId="65643F9A" w14:textId="0FBF277D"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 xml:space="preserve"> 2022</w:t>
            </w:r>
          </w:p>
        </w:tc>
        <w:tc>
          <w:tcPr>
            <w:tcW w:w="1587" w:type="dxa"/>
            <w:tcBorders>
              <w:top w:val="nil"/>
              <w:left w:val="nil"/>
              <w:bottom w:val="single" w:sz="8" w:space="0" w:color="auto"/>
              <w:right w:val="single" w:sz="8" w:space="0" w:color="auto"/>
            </w:tcBorders>
            <w:shd w:val="clear" w:color="auto" w:fill="auto"/>
            <w:vAlign w:val="center"/>
          </w:tcPr>
          <w:p w14:paraId="51E8E397" w14:textId="335A9491"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58.68</w:t>
            </w:r>
            <w:r w:rsidR="002F2D5F" w:rsidRPr="009E7CF5">
              <w:rPr>
                <w:rFonts w:ascii="Arial" w:eastAsia="Times New Roman" w:hAnsi="Arial" w:cs="Arial"/>
                <w:color w:val="000000"/>
              </w:rPr>
              <w:t>%</w:t>
            </w:r>
          </w:p>
        </w:tc>
      </w:tr>
      <w:tr w:rsidR="00E43043" w:rsidRPr="00ED1E85" w14:paraId="26F822A5" w14:textId="77777777" w:rsidTr="00B9530A">
        <w:trPr>
          <w:trHeight w:val="460"/>
        </w:trPr>
        <w:tc>
          <w:tcPr>
            <w:tcW w:w="1866" w:type="dxa"/>
            <w:tcBorders>
              <w:top w:val="nil"/>
              <w:left w:val="single" w:sz="8" w:space="0" w:color="auto"/>
              <w:bottom w:val="single" w:sz="8" w:space="0" w:color="auto"/>
              <w:right w:val="single" w:sz="8" w:space="0" w:color="auto"/>
            </w:tcBorders>
            <w:shd w:val="clear" w:color="auto" w:fill="auto"/>
            <w:vAlign w:val="center"/>
          </w:tcPr>
          <w:p w14:paraId="59C5B23F" w14:textId="7F85A416" w:rsidR="00E43043" w:rsidRPr="009E7CF5" w:rsidRDefault="002F2D5F" w:rsidP="00E43043">
            <w:pPr>
              <w:rPr>
                <w:rFonts w:ascii="Arial" w:eastAsia="Times New Roman" w:hAnsi="Arial" w:cs="Arial"/>
                <w:color w:val="000000"/>
              </w:rPr>
            </w:pPr>
            <w:r w:rsidRPr="009E7CF5">
              <w:rPr>
                <w:rFonts w:ascii="Arial" w:eastAsia="Times New Roman" w:hAnsi="Arial" w:cs="Arial"/>
                <w:color w:val="000000"/>
              </w:rPr>
              <w:t>Well Child Visits in the First 30 Mos. (15-30 mos.) – 2 or more visits</w:t>
            </w:r>
          </w:p>
        </w:tc>
        <w:tc>
          <w:tcPr>
            <w:tcW w:w="4244" w:type="dxa"/>
            <w:tcBorders>
              <w:top w:val="nil"/>
              <w:left w:val="nil"/>
              <w:bottom w:val="single" w:sz="8" w:space="0" w:color="auto"/>
              <w:right w:val="single" w:sz="8" w:space="0" w:color="auto"/>
            </w:tcBorders>
            <w:shd w:val="clear" w:color="auto" w:fill="auto"/>
            <w:vAlign w:val="center"/>
          </w:tcPr>
          <w:p w14:paraId="1053FA6C" w14:textId="74A94907" w:rsidR="00E43043" w:rsidRPr="009E7CF5" w:rsidRDefault="002F2D5F" w:rsidP="00E43043">
            <w:pPr>
              <w:rPr>
                <w:rFonts w:ascii="Arial" w:eastAsia="Times New Roman" w:hAnsi="Arial" w:cs="Arial"/>
                <w:color w:val="000000"/>
              </w:rPr>
            </w:pPr>
            <w:r w:rsidRPr="009E7CF5">
              <w:rPr>
                <w:rFonts w:ascii="Arial" w:eastAsia="Times New Roman" w:hAnsi="Arial" w:cs="Arial"/>
                <w:color w:val="000000" w:themeColor="text1"/>
              </w:rPr>
              <w:t>Percentage of members who had the following number of well-child visits with a PCP for Age 15 Months–30 Months: two or more visits</w:t>
            </w:r>
          </w:p>
        </w:tc>
        <w:tc>
          <w:tcPr>
            <w:tcW w:w="1643" w:type="dxa"/>
            <w:tcBorders>
              <w:top w:val="nil"/>
              <w:left w:val="nil"/>
              <w:bottom w:val="single" w:sz="8" w:space="0" w:color="auto"/>
              <w:right w:val="single" w:sz="8" w:space="0" w:color="auto"/>
            </w:tcBorders>
            <w:shd w:val="clear" w:color="auto" w:fill="auto"/>
            <w:vAlign w:val="center"/>
          </w:tcPr>
          <w:p w14:paraId="00BACB6B" w14:textId="35025452"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 xml:space="preserve"> 2022</w:t>
            </w:r>
          </w:p>
        </w:tc>
        <w:tc>
          <w:tcPr>
            <w:tcW w:w="1587" w:type="dxa"/>
            <w:tcBorders>
              <w:top w:val="nil"/>
              <w:left w:val="nil"/>
              <w:bottom w:val="single" w:sz="8" w:space="0" w:color="auto"/>
              <w:right w:val="single" w:sz="8" w:space="0" w:color="auto"/>
            </w:tcBorders>
            <w:shd w:val="clear" w:color="auto" w:fill="auto"/>
            <w:vAlign w:val="center"/>
          </w:tcPr>
          <w:p w14:paraId="191A749B" w14:textId="356998DE" w:rsidR="00E43043" w:rsidRPr="009E7CF5" w:rsidRDefault="009C4A0F" w:rsidP="00E43043">
            <w:pPr>
              <w:jc w:val="center"/>
              <w:rPr>
                <w:rFonts w:ascii="Arial" w:eastAsia="Times New Roman" w:hAnsi="Arial" w:cs="Arial"/>
                <w:color w:val="000000"/>
              </w:rPr>
            </w:pPr>
            <w:r w:rsidRPr="009E7CF5">
              <w:rPr>
                <w:rFonts w:ascii="Arial" w:eastAsia="Times New Roman" w:hAnsi="Arial" w:cs="Arial"/>
                <w:color w:val="000000"/>
              </w:rPr>
              <w:t>76.50</w:t>
            </w:r>
            <w:r w:rsidR="002F2D5F" w:rsidRPr="009E7CF5">
              <w:rPr>
                <w:rFonts w:ascii="Arial" w:eastAsia="Times New Roman" w:hAnsi="Arial" w:cs="Arial"/>
                <w:color w:val="000000"/>
              </w:rPr>
              <w:t>%</w:t>
            </w:r>
          </w:p>
        </w:tc>
      </w:tr>
      <w:tr w:rsidR="00E43043" w:rsidRPr="00ED1E85" w14:paraId="68D6C854" w14:textId="77777777" w:rsidTr="00B9530A">
        <w:trPr>
          <w:trHeight w:val="67"/>
        </w:trPr>
        <w:tc>
          <w:tcPr>
            <w:tcW w:w="1866" w:type="dxa"/>
            <w:tcBorders>
              <w:top w:val="nil"/>
              <w:left w:val="single" w:sz="8" w:space="0" w:color="auto"/>
              <w:bottom w:val="single" w:sz="8" w:space="0" w:color="auto"/>
              <w:right w:val="single" w:sz="8" w:space="0" w:color="auto"/>
            </w:tcBorders>
            <w:shd w:val="clear" w:color="auto" w:fill="auto"/>
            <w:vAlign w:val="center"/>
            <w:hideMark/>
          </w:tcPr>
          <w:p w14:paraId="74EADF42" w14:textId="77777777" w:rsidR="00E43043" w:rsidRPr="009E7CF5" w:rsidRDefault="00E43043" w:rsidP="00FF5057">
            <w:pPr>
              <w:rPr>
                <w:rFonts w:ascii="Arial" w:eastAsia="Times New Roman" w:hAnsi="Arial" w:cs="Arial"/>
                <w:color w:val="000000"/>
              </w:rPr>
            </w:pPr>
            <w:r w:rsidRPr="009E7CF5">
              <w:rPr>
                <w:rFonts w:ascii="Arial" w:eastAsia="Times New Roman" w:hAnsi="Arial" w:cs="Arial"/>
                <w:color w:val="000000"/>
              </w:rPr>
              <w:t xml:space="preserve">Lead Screening </w:t>
            </w:r>
          </w:p>
        </w:tc>
        <w:tc>
          <w:tcPr>
            <w:tcW w:w="4244" w:type="dxa"/>
            <w:tcBorders>
              <w:top w:val="nil"/>
              <w:left w:val="nil"/>
              <w:bottom w:val="single" w:sz="8" w:space="0" w:color="auto"/>
              <w:right w:val="single" w:sz="8" w:space="0" w:color="auto"/>
            </w:tcBorders>
            <w:shd w:val="clear" w:color="auto" w:fill="auto"/>
            <w:vAlign w:val="center"/>
            <w:hideMark/>
          </w:tcPr>
          <w:p w14:paraId="7183CB87" w14:textId="77777777" w:rsidR="00E43043" w:rsidRPr="009E7CF5" w:rsidRDefault="00E43043" w:rsidP="004F63AA">
            <w:pPr>
              <w:spacing w:line="240" w:lineRule="auto"/>
              <w:rPr>
                <w:rFonts w:ascii="Arial" w:eastAsia="Times New Roman" w:hAnsi="Arial" w:cs="Arial"/>
                <w:color w:val="000000"/>
              </w:rPr>
            </w:pPr>
            <w:r w:rsidRPr="009E7CF5">
              <w:rPr>
                <w:rFonts w:ascii="Arial" w:eastAsia="Times New Roman" w:hAnsi="Arial" w:cs="Arial"/>
                <w:color w:val="000000"/>
              </w:rPr>
              <w:t xml:space="preserve">Percentage of children 2 years of age who had one or more capillary or venous </w:t>
            </w:r>
            <w:r w:rsidRPr="009E7CF5">
              <w:rPr>
                <w:rFonts w:ascii="Arial" w:eastAsia="Times New Roman" w:hAnsi="Arial" w:cs="Arial"/>
                <w:color w:val="000000"/>
              </w:rPr>
              <w:lastRenderedPageBreak/>
              <w:t xml:space="preserve">lead blood test for lead poisoning by their second birthday </w:t>
            </w:r>
          </w:p>
        </w:tc>
        <w:tc>
          <w:tcPr>
            <w:tcW w:w="1643" w:type="dxa"/>
            <w:tcBorders>
              <w:top w:val="nil"/>
              <w:left w:val="nil"/>
              <w:bottom w:val="single" w:sz="8" w:space="0" w:color="auto"/>
              <w:right w:val="single" w:sz="8" w:space="0" w:color="auto"/>
            </w:tcBorders>
            <w:shd w:val="clear" w:color="auto" w:fill="auto"/>
            <w:vAlign w:val="center"/>
            <w:hideMark/>
          </w:tcPr>
          <w:p w14:paraId="6823F140" w14:textId="2F1A56A4" w:rsidR="00E43043" w:rsidRPr="009E7CF5" w:rsidRDefault="009C4A0F" w:rsidP="00FF5057">
            <w:pPr>
              <w:jc w:val="center"/>
              <w:rPr>
                <w:rFonts w:ascii="Arial" w:eastAsia="Times New Roman" w:hAnsi="Arial" w:cs="Arial"/>
                <w:color w:val="000000"/>
              </w:rPr>
            </w:pPr>
            <w:r w:rsidRPr="009E7CF5">
              <w:rPr>
                <w:rFonts w:ascii="Arial" w:eastAsia="Times New Roman" w:hAnsi="Arial" w:cs="Arial"/>
                <w:color w:val="000000"/>
              </w:rPr>
              <w:lastRenderedPageBreak/>
              <w:t xml:space="preserve"> 2022</w:t>
            </w:r>
          </w:p>
        </w:tc>
        <w:tc>
          <w:tcPr>
            <w:tcW w:w="1587" w:type="dxa"/>
            <w:tcBorders>
              <w:top w:val="nil"/>
              <w:left w:val="nil"/>
              <w:bottom w:val="single" w:sz="8" w:space="0" w:color="auto"/>
              <w:right w:val="single" w:sz="8" w:space="0" w:color="auto"/>
            </w:tcBorders>
            <w:shd w:val="clear" w:color="auto" w:fill="auto"/>
            <w:vAlign w:val="center"/>
            <w:hideMark/>
          </w:tcPr>
          <w:p w14:paraId="45EB2427" w14:textId="207A8AD3" w:rsidR="00E43043" w:rsidRPr="009E7CF5" w:rsidRDefault="009C4A0F" w:rsidP="00FF5057">
            <w:pPr>
              <w:jc w:val="center"/>
              <w:rPr>
                <w:rFonts w:ascii="Arial" w:eastAsia="Times New Roman" w:hAnsi="Arial" w:cs="Arial"/>
                <w:color w:val="000000"/>
              </w:rPr>
            </w:pPr>
            <w:r w:rsidRPr="009E7CF5">
              <w:rPr>
                <w:rFonts w:ascii="Arial" w:eastAsia="Times New Roman" w:hAnsi="Arial" w:cs="Arial"/>
                <w:color w:val="000000"/>
              </w:rPr>
              <w:t>72.34</w:t>
            </w:r>
            <w:r w:rsidR="00E43043" w:rsidRPr="009E7CF5">
              <w:rPr>
                <w:rFonts w:ascii="Arial" w:eastAsia="Times New Roman" w:hAnsi="Arial" w:cs="Arial"/>
                <w:color w:val="000000"/>
              </w:rPr>
              <w:t>%</w:t>
            </w:r>
          </w:p>
        </w:tc>
      </w:tr>
    </w:tbl>
    <w:p w14:paraId="177CC9D0" w14:textId="77777777" w:rsidR="00E43043" w:rsidRDefault="00E43043" w:rsidP="00287A8D">
      <w:pPr>
        <w:spacing w:after="0"/>
        <w:jc w:val="both"/>
        <w:rPr>
          <w:rFonts w:ascii="Arial" w:hAnsi="Arial" w:cs="Arial"/>
        </w:rPr>
      </w:pPr>
    </w:p>
    <w:p w14:paraId="2ED5689B" w14:textId="4C1ACFC9" w:rsidR="00E43043" w:rsidRDefault="00E43043" w:rsidP="00287A8D">
      <w:pPr>
        <w:spacing w:after="0"/>
        <w:jc w:val="both"/>
        <w:rPr>
          <w:rFonts w:ascii="Arial" w:hAnsi="Arial" w:cs="Arial"/>
        </w:rPr>
      </w:pPr>
    </w:p>
    <w:p w14:paraId="5FBEDAB3" w14:textId="4FE0C523" w:rsidR="00E43043" w:rsidRDefault="00181F26" w:rsidP="00287A8D">
      <w:pPr>
        <w:spacing w:after="0"/>
        <w:jc w:val="both"/>
        <w:rPr>
          <w:rFonts w:ascii="Arial" w:hAnsi="Arial" w:cs="Arial"/>
        </w:rPr>
      </w:pPr>
      <w:r w:rsidRPr="00942288">
        <w:rPr>
          <w:rFonts w:ascii="Arial" w:hAnsi="Arial" w:cs="Arial"/>
          <w:b/>
          <w:bCs/>
        </w:rPr>
        <w:t>NOTE:</w:t>
      </w:r>
      <w:r>
        <w:rPr>
          <w:rFonts w:ascii="Arial" w:hAnsi="Arial" w:cs="Arial"/>
        </w:rPr>
        <w:t xml:space="preserve"> Pediatric Primary Care Physicians</w:t>
      </w:r>
      <w:r w:rsidRPr="00181F26">
        <w:rPr>
          <w:rFonts w:ascii="Arial" w:hAnsi="Arial" w:cs="Arial"/>
        </w:rPr>
        <w:t xml:space="preserve"> who qualified for the MPIP Year 7 (October 1, 2022 – September 30, 2023) through an Individual Health Plan MPIP (IHP Incentive Program) </w:t>
      </w:r>
      <w:r>
        <w:rPr>
          <w:rFonts w:ascii="Arial" w:hAnsi="Arial" w:cs="Arial"/>
        </w:rPr>
        <w:t xml:space="preserve">will </w:t>
      </w:r>
      <w:r w:rsidRPr="00181F26">
        <w:rPr>
          <w:rFonts w:ascii="Arial" w:hAnsi="Arial" w:cs="Arial"/>
        </w:rPr>
        <w:t>continue to be qualified for the</w:t>
      </w:r>
      <w:r w:rsidR="004A6007">
        <w:rPr>
          <w:rFonts w:ascii="Arial" w:hAnsi="Arial" w:cs="Arial"/>
        </w:rPr>
        <w:t xml:space="preserve"> Agency</w:t>
      </w:r>
      <w:r w:rsidRPr="00181F26">
        <w:rPr>
          <w:rFonts w:ascii="Arial" w:hAnsi="Arial" w:cs="Arial"/>
        </w:rPr>
        <w:t xml:space="preserve"> MPIP </w:t>
      </w:r>
      <w:r w:rsidR="004A6007">
        <w:rPr>
          <w:rFonts w:ascii="Arial" w:hAnsi="Arial" w:cs="Arial"/>
        </w:rPr>
        <w:t xml:space="preserve">model </w:t>
      </w:r>
      <w:r w:rsidR="00564374">
        <w:rPr>
          <w:rFonts w:ascii="Arial" w:hAnsi="Arial" w:cs="Arial"/>
        </w:rPr>
        <w:t xml:space="preserve">in the program year </w:t>
      </w:r>
      <w:r w:rsidRPr="00181F26">
        <w:rPr>
          <w:rFonts w:ascii="Arial" w:hAnsi="Arial" w:cs="Arial"/>
        </w:rPr>
        <w:t xml:space="preserve">beginning </w:t>
      </w:r>
      <w:r w:rsidRPr="00942288">
        <w:rPr>
          <w:rFonts w:ascii="Arial" w:hAnsi="Arial" w:cs="Arial"/>
        </w:rPr>
        <w:t>October 1, 2023</w:t>
      </w:r>
      <w:r w:rsidRPr="00181F26">
        <w:rPr>
          <w:rFonts w:ascii="Arial" w:hAnsi="Arial" w:cs="Arial"/>
        </w:rPr>
        <w:t>.</w:t>
      </w:r>
    </w:p>
    <w:p w14:paraId="69D386E2" w14:textId="524B9592" w:rsidR="00E43043" w:rsidRDefault="00E43043" w:rsidP="00287A8D">
      <w:pPr>
        <w:spacing w:after="0"/>
        <w:jc w:val="both"/>
        <w:rPr>
          <w:rFonts w:ascii="Arial" w:hAnsi="Arial" w:cs="Arial"/>
        </w:rPr>
      </w:pPr>
    </w:p>
    <w:p w14:paraId="3052003F" w14:textId="2D502EF1" w:rsidR="00382CF7" w:rsidRPr="003D3396" w:rsidRDefault="00382CF7" w:rsidP="00382CF7">
      <w:pPr>
        <w:jc w:val="both"/>
        <w:rPr>
          <w:rFonts w:ascii="Arial" w:hAnsi="Arial" w:cs="Arial"/>
        </w:rPr>
      </w:pPr>
      <w:r w:rsidRPr="00382CF7">
        <w:rPr>
          <w:rFonts w:ascii="Arial" w:hAnsi="Arial" w:cs="Arial"/>
          <w:b/>
          <w:bCs/>
        </w:rPr>
        <w:t>Obstetrician/Gynecologist (OB/GYN):</w:t>
      </w:r>
      <w:r>
        <w:rPr>
          <w:rFonts w:ascii="Arial" w:hAnsi="Arial" w:cs="Arial"/>
        </w:rPr>
        <w:t xml:space="preserve"> </w:t>
      </w:r>
      <w:r w:rsidRPr="00C71B04">
        <w:rPr>
          <w:rFonts w:ascii="Arial" w:hAnsi="Arial" w:cs="Arial"/>
        </w:rPr>
        <w:t>Qualified providers are</w:t>
      </w:r>
      <w:r>
        <w:rPr>
          <w:rFonts w:ascii="Arial" w:hAnsi="Arial" w:cs="Arial"/>
        </w:rPr>
        <w:t xml:space="preserve"> OB/GYN physicians. There are two ways an OB/GYN provider may achieve qualified provider status: </w:t>
      </w:r>
    </w:p>
    <w:p w14:paraId="54E0355F" w14:textId="7D79D82B" w:rsidR="00382CF7" w:rsidRDefault="00382CF7" w:rsidP="00382CF7">
      <w:pPr>
        <w:jc w:val="both"/>
        <w:rPr>
          <w:rFonts w:ascii="Arial" w:hAnsi="Arial" w:cs="Arial"/>
        </w:rPr>
      </w:pPr>
      <w:r w:rsidRPr="003D3396">
        <w:rPr>
          <w:rFonts w:ascii="Arial" w:hAnsi="Arial" w:cs="Arial"/>
          <w:b/>
        </w:rPr>
        <w:t>Option 1</w:t>
      </w:r>
      <w:r>
        <w:rPr>
          <w:rFonts w:ascii="Arial" w:hAnsi="Arial" w:cs="Arial"/>
        </w:rPr>
        <w:t xml:space="preserve">: Recognition by the National </w:t>
      </w:r>
      <w:r w:rsidRPr="00A95C27">
        <w:rPr>
          <w:rFonts w:ascii="Arial" w:hAnsi="Arial" w:cs="Arial"/>
        </w:rPr>
        <w:t>Committee for Quality Assurance (NCQA) as a Patient-Centered Specialty Practice (PCSP) or</w:t>
      </w:r>
      <w:r>
        <w:rPr>
          <w:rFonts w:ascii="Arial" w:hAnsi="Arial" w:cs="Arial"/>
        </w:rPr>
        <w:t xml:space="preserve"> by one of the following organizations as a Patient-Centered Medical Home (PCMH) </w:t>
      </w:r>
      <w:r w:rsidRPr="00382CF7">
        <w:rPr>
          <w:rFonts w:ascii="Arial" w:hAnsi="Arial" w:cs="Arial"/>
        </w:rPr>
        <w:t>on or before</w:t>
      </w:r>
      <w:r w:rsidRPr="007E6A60">
        <w:rPr>
          <w:rFonts w:ascii="Arial" w:hAnsi="Arial" w:cs="Arial"/>
          <w:color w:val="FF0000"/>
        </w:rPr>
        <w:t xml:space="preserve"> </w:t>
      </w:r>
      <w:r w:rsidR="007E6A60" w:rsidRPr="007264CC">
        <w:rPr>
          <w:rFonts w:ascii="Arial" w:hAnsi="Arial" w:cs="Arial"/>
          <w:i/>
          <w:color w:val="FF0000"/>
        </w:rPr>
        <w:t>[</w:t>
      </w:r>
      <w:r w:rsidRPr="007264CC">
        <w:rPr>
          <w:rFonts w:ascii="Arial" w:hAnsi="Arial" w:cs="Arial"/>
          <w:i/>
          <w:color w:val="FF0000"/>
        </w:rPr>
        <w:t>October 1, 2023</w:t>
      </w:r>
      <w:r w:rsidR="007E6A60" w:rsidRPr="007264CC">
        <w:rPr>
          <w:rFonts w:ascii="Arial" w:hAnsi="Arial" w:cs="Arial"/>
          <w:i/>
          <w:color w:val="FF0000"/>
        </w:rPr>
        <w:t>]</w:t>
      </w:r>
      <w:r w:rsidRPr="007E6A60">
        <w:rPr>
          <w:rFonts w:ascii="Arial" w:hAnsi="Arial" w:cs="Arial"/>
          <w:color w:val="FF0000"/>
        </w:rPr>
        <w:t>:</w:t>
      </w:r>
    </w:p>
    <w:p w14:paraId="767A353D" w14:textId="77777777" w:rsidR="007E6A60" w:rsidRPr="00A22043" w:rsidRDefault="007E6A60" w:rsidP="007E6A60">
      <w:pPr>
        <w:numPr>
          <w:ilvl w:val="0"/>
          <w:numId w:val="1"/>
        </w:numPr>
        <w:spacing w:before="240" w:after="0"/>
        <w:contextualSpacing/>
        <w:jc w:val="both"/>
        <w:rPr>
          <w:rFonts w:ascii="Arial" w:hAnsi="Arial" w:cs="Arial"/>
        </w:rPr>
      </w:pPr>
      <w:r w:rsidRPr="00A22043">
        <w:rPr>
          <w:rFonts w:ascii="Arial" w:hAnsi="Arial" w:cs="Arial"/>
        </w:rPr>
        <w:t>National Committ</w:t>
      </w:r>
      <w:r>
        <w:rPr>
          <w:rFonts w:ascii="Arial" w:hAnsi="Arial" w:cs="Arial"/>
        </w:rPr>
        <w:t>ee for Quality Assurance (NCQA)</w:t>
      </w:r>
      <w:r w:rsidRPr="00A22043">
        <w:rPr>
          <w:rFonts w:ascii="Arial" w:hAnsi="Arial" w:cs="Arial"/>
        </w:rPr>
        <w:t>;</w:t>
      </w:r>
    </w:p>
    <w:p w14:paraId="49594EBC" w14:textId="77777777" w:rsidR="007E6A60" w:rsidRPr="00A22043" w:rsidRDefault="007E6A60" w:rsidP="007E6A60">
      <w:pPr>
        <w:numPr>
          <w:ilvl w:val="0"/>
          <w:numId w:val="1"/>
        </w:numPr>
        <w:contextualSpacing/>
        <w:jc w:val="both"/>
        <w:rPr>
          <w:rFonts w:ascii="Arial" w:hAnsi="Arial" w:cs="Arial"/>
        </w:rPr>
      </w:pPr>
      <w:r w:rsidRPr="00A22043">
        <w:rPr>
          <w:rFonts w:ascii="Arial" w:hAnsi="Arial" w:cs="Arial"/>
        </w:rPr>
        <w:t>Accreditation Association for Ambulatory Health Care (AAAHC);</w:t>
      </w:r>
    </w:p>
    <w:p w14:paraId="022E5998" w14:textId="77777777" w:rsidR="007E6A60" w:rsidRPr="00A22043" w:rsidRDefault="007E6A60" w:rsidP="007E6A60">
      <w:pPr>
        <w:numPr>
          <w:ilvl w:val="0"/>
          <w:numId w:val="1"/>
        </w:numPr>
        <w:contextualSpacing/>
        <w:jc w:val="both"/>
        <w:rPr>
          <w:rFonts w:ascii="Arial" w:hAnsi="Arial" w:cs="Arial"/>
        </w:rPr>
      </w:pPr>
      <w:r w:rsidRPr="00A22043">
        <w:rPr>
          <w:rFonts w:ascii="Arial" w:hAnsi="Arial" w:cs="Arial"/>
        </w:rPr>
        <w:t>The Joint Commission (TJC); or,</w:t>
      </w:r>
    </w:p>
    <w:p w14:paraId="73572E46" w14:textId="3F7C1F7A" w:rsidR="00A71846" w:rsidRDefault="007E6A60" w:rsidP="00382CF7">
      <w:pPr>
        <w:numPr>
          <w:ilvl w:val="0"/>
          <w:numId w:val="1"/>
        </w:numPr>
        <w:spacing w:after="0"/>
        <w:contextualSpacing/>
        <w:jc w:val="both"/>
        <w:rPr>
          <w:rFonts w:ascii="Arial" w:hAnsi="Arial" w:cs="Arial"/>
        </w:rPr>
      </w:pPr>
      <w:r w:rsidRPr="00A22043">
        <w:rPr>
          <w:rFonts w:ascii="Arial" w:hAnsi="Arial" w:cs="Arial"/>
        </w:rPr>
        <w:t>Utilization Review Accreditation Commission (URAC)</w:t>
      </w:r>
      <w:r>
        <w:rPr>
          <w:rFonts w:ascii="Arial" w:hAnsi="Arial" w:cs="Arial"/>
        </w:rPr>
        <w:t>.</w:t>
      </w:r>
    </w:p>
    <w:p w14:paraId="17D052CE" w14:textId="77777777" w:rsidR="00474550" w:rsidRPr="00474550" w:rsidRDefault="00474550" w:rsidP="00474550">
      <w:pPr>
        <w:spacing w:after="0"/>
        <w:ind w:left="1500"/>
        <w:contextualSpacing/>
        <w:jc w:val="both"/>
        <w:rPr>
          <w:rFonts w:ascii="Arial" w:hAnsi="Arial" w:cs="Arial"/>
        </w:rPr>
      </w:pPr>
    </w:p>
    <w:p w14:paraId="4BDF1908" w14:textId="7304AABF" w:rsidR="00A71846" w:rsidRPr="00A71846" w:rsidRDefault="00A71846" w:rsidP="00A71846">
      <w:pPr>
        <w:jc w:val="center"/>
        <w:rPr>
          <w:rFonts w:ascii="Arial" w:hAnsi="Arial" w:cs="Arial"/>
          <w:b/>
          <w:bCs/>
          <w:u w:val="single"/>
        </w:rPr>
      </w:pPr>
      <w:r w:rsidRPr="00A71846">
        <w:rPr>
          <w:rFonts w:ascii="Arial" w:hAnsi="Arial" w:cs="Arial"/>
          <w:b/>
          <w:bCs/>
          <w:u w:val="single"/>
        </w:rPr>
        <w:t>OR:</w:t>
      </w:r>
    </w:p>
    <w:p w14:paraId="04EF3535" w14:textId="77777777" w:rsidR="00353E90" w:rsidRDefault="00A71846" w:rsidP="00382CF7">
      <w:pPr>
        <w:jc w:val="both"/>
        <w:rPr>
          <w:rFonts w:ascii="Arial" w:hAnsi="Arial" w:cs="Arial"/>
        </w:rPr>
      </w:pPr>
      <w:r w:rsidRPr="00A71846">
        <w:rPr>
          <w:rFonts w:ascii="Arial" w:hAnsi="Arial" w:cs="Arial"/>
          <w:b/>
          <w:bCs/>
        </w:rPr>
        <w:t>Option 2</w:t>
      </w:r>
      <w:r>
        <w:rPr>
          <w:rFonts w:ascii="Arial" w:hAnsi="Arial" w:cs="Arial"/>
        </w:rPr>
        <w:t xml:space="preserve">: </w:t>
      </w:r>
      <w:r w:rsidR="00273125" w:rsidRPr="00273125">
        <w:rPr>
          <w:rFonts w:ascii="Arial" w:hAnsi="Arial" w:cs="Arial"/>
        </w:rPr>
        <w:t>Site must achieve or exceed the benchmark for all three of the following</w:t>
      </w:r>
      <w:r w:rsidR="00131B39">
        <w:rPr>
          <w:rFonts w:ascii="Arial" w:hAnsi="Arial" w:cs="Arial"/>
        </w:rPr>
        <w:t xml:space="preserve"> metrics</w:t>
      </w:r>
      <w:r w:rsidR="00131B39" w:rsidRPr="001624EE">
        <w:rPr>
          <w:rFonts w:ascii="Arial" w:hAnsi="Arial" w:cs="Arial"/>
        </w:rPr>
        <w:t xml:space="preserve">. </w:t>
      </w:r>
    </w:p>
    <w:p w14:paraId="2A5F0E5F" w14:textId="590065E1" w:rsidR="007E6A60" w:rsidRDefault="00131B39" w:rsidP="00382CF7">
      <w:pPr>
        <w:jc w:val="both"/>
        <w:rPr>
          <w:rFonts w:ascii="Arial" w:hAnsi="Arial" w:cs="Arial"/>
        </w:rPr>
      </w:pPr>
      <w:r w:rsidRPr="001624EE">
        <w:rPr>
          <w:rFonts w:ascii="Arial" w:hAnsi="Arial" w:cs="Arial"/>
        </w:rPr>
        <w:t xml:space="preserve">NOTE - The NCQA requirements for at least 30 members in the denominator does not apply to the calculations for these measures.  </w:t>
      </w:r>
    </w:p>
    <w:tbl>
      <w:tblPr>
        <w:tblStyle w:val="TableGrid"/>
        <w:tblW w:w="0" w:type="auto"/>
        <w:jc w:val="center"/>
        <w:tblInd w:w="0" w:type="dxa"/>
        <w:tblLook w:val="04A0" w:firstRow="1" w:lastRow="0" w:firstColumn="1" w:lastColumn="0" w:noHBand="0" w:noVBand="1"/>
      </w:tblPr>
      <w:tblGrid>
        <w:gridCol w:w="2760"/>
        <w:gridCol w:w="2395"/>
        <w:gridCol w:w="2063"/>
        <w:gridCol w:w="2063"/>
      </w:tblGrid>
      <w:tr w:rsidR="00273125" w:rsidRPr="005A461A" w14:paraId="623C5EA5" w14:textId="77777777" w:rsidTr="00A71846">
        <w:trPr>
          <w:trHeight w:val="226"/>
          <w:jc w:val="center"/>
        </w:trPr>
        <w:tc>
          <w:tcPr>
            <w:tcW w:w="9281" w:type="dxa"/>
            <w:gridSpan w:val="4"/>
            <w:tcBorders>
              <w:bottom w:val="single" w:sz="4" w:space="0" w:color="auto"/>
            </w:tcBorders>
            <w:shd w:val="clear" w:color="auto" w:fill="auto"/>
          </w:tcPr>
          <w:p w14:paraId="3874570D" w14:textId="5D4DC8CD" w:rsidR="00273125" w:rsidRPr="009E7CF5" w:rsidRDefault="00131B39" w:rsidP="00FF5057">
            <w:pPr>
              <w:jc w:val="center"/>
              <w:rPr>
                <w:rFonts w:ascii="Arial" w:hAnsi="Arial" w:cs="Arial"/>
                <w:b/>
                <w:color w:val="000000" w:themeColor="text1"/>
              </w:rPr>
            </w:pPr>
            <w:r w:rsidRPr="009E7CF5">
              <w:rPr>
                <w:rFonts w:ascii="Arial" w:hAnsi="Arial" w:cs="Arial"/>
                <w:b/>
                <w:color w:val="000000" w:themeColor="text1"/>
              </w:rPr>
              <w:t xml:space="preserve">Agency </w:t>
            </w:r>
            <w:r w:rsidR="004F63AA" w:rsidRPr="009E7CF5">
              <w:rPr>
                <w:rFonts w:ascii="Arial" w:hAnsi="Arial" w:cs="Arial"/>
                <w:b/>
                <w:color w:val="000000" w:themeColor="text1"/>
              </w:rPr>
              <w:t>MPIP Qualifications for Obstetrician</w:t>
            </w:r>
            <w:r w:rsidRPr="009E7CF5">
              <w:rPr>
                <w:rFonts w:ascii="Arial" w:hAnsi="Arial" w:cs="Arial"/>
                <w:b/>
                <w:color w:val="000000" w:themeColor="text1"/>
              </w:rPr>
              <w:t>s</w:t>
            </w:r>
            <w:r w:rsidR="004F63AA" w:rsidRPr="009E7CF5">
              <w:rPr>
                <w:rFonts w:ascii="Arial" w:hAnsi="Arial" w:cs="Arial"/>
                <w:b/>
                <w:color w:val="000000" w:themeColor="text1"/>
              </w:rPr>
              <w:t>/Gynecologist</w:t>
            </w:r>
            <w:r w:rsidRPr="009E7CF5">
              <w:rPr>
                <w:rFonts w:ascii="Arial" w:hAnsi="Arial" w:cs="Arial"/>
                <w:b/>
                <w:color w:val="000000" w:themeColor="text1"/>
              </w:rPr>
              <w:t>s</w:t>
            </w:r>
          </w:p>
        </w:tc>
      </w:tr>
      <w:tr w:rsidR="00273125" w:rsidRPr="005A461A" w14:paraId="5C9D0C94" w14:textId="77777777" w:rsidTr="00A71846">
        <w:trPr>
          <w:trHeight w:val="226"/>
          <w:jc w:val="center"/>
        </w:trPr>
        <w:tc>
          <w:tcPr>
            <w:tcW w:w="2760" w:type="dxa"/>
            <w:tcBorders>
              <w:bottom w:val="single" w:sz="4" w:space="0" w:color="auto"/>
            </w:tcBorders>
            <w:shd w:val="clear" w:color="auto" w:fill="auto"/>
          </w:tcPr>
          <w:p w14:paraId="055BD9FE" w14:textId="77777777" w:rsidR="00273125" w:rsidRPr="009E7CF5" w:rsidRDefault="00273125" w:rsidP="00FF5057">
            <w:pPr>
              <w:jc w:val="center"/>
              <w:rPr>
                <w:rFonts w:ascii="Arial" w:hAnsi="Arial" w:cs="Arial"/>
                <w:b/>
                <w:color w:val="000000" w:themeColor="text1"/>
              </w:rPr>
            </w:pPr>
          </w:p>
          <w:p w14:paraId="2FC69CB9" w14:textId="77777777" w:rsidR="00273125" w:rsidRPr="009E7CF5" w:rsidRDefault="00273125" w:rsidP="00FF5057">
            <w:pPr>
              <w:jc w:val="center"/>
              <w:rPr>
                <w:rFonts w:ascii="Arial" w:hAnsi="Arial" w:cs="Arial"/>
                <w:b/>
                <w:color w:val="000000" w:themeColor="text1"/>
              </w:rPr>
            </w:pPr>
            <w:r w:rsidRPr="009E7CF5">
              <w:rPr>
                <w:rFonts w:ascii="Arial" w:hAnsi="Arial" w:cs="Arial"/>
                <w:b/>
                <w:color w:val="000000" w:themeColor="text1"/>
              </w:rPr>
              <w:t>Measure</w:t>
            </w:r>
          </w:p>
        </w:tc>
        <w:tc>
          <w:tcPr>
            <w:tcW w:w="2395" w:type="dxa"/>
            <w:tcBorders>
              <w:bottom w:val="single" w:sz="4" w:space="0" w:color="auto"/>
            </w:tcBorders>
            <w:shd w:val="clear" w:color="auto" w:fill="auto"/>
          </w:tcPr>
          <w:p w14:paraId="71772891" w14:textId="77777777" w:rsidR="00273125" w:rsidRPr="009E7CF5" w:rsidRDefault="00273125" w:rsidP="00FF5057">
            <w:pPr>
              <w:jc w:val="center"/>
              <w:rPr>
                <w:rFonts w:ascii="Arial" w:hAnsi="Arial" w:cs="Arial"/>
                <w:b/>
                <w:color w:val="000000" w:themeColor="text1"/>
              </w:rPr>
            </w:pPr>
          </w:p>
          <w:p w14:paraId="035C27D5" w14:textId="77777777" w:rsidR="00273125" w:rsidRPr="009E7CF5" w:rsidRDefault="00273125" w:rsidP="00FF5057">
            <w:pPr>
              <w:jc w:val="center"/>
              <w:rPr>
                <w:rFonts w:ascii="Arial" w:hAnsi="Arial" w:cs="Arial"/>
                <w:b/>
                <w:color w:val="000000" w:themeColor="text1"/>
              </w:rPr>
            </w:pPr>
            <w:r w:rsidRPr="009E7CF5">
              <w:rPr>
                <w:rFonts w:ascii="Arial" w:hAnsi="Arial" w:cs="Arial"/>
                <w:b/>
                <w:color w:val="000000" w:themeColor="text1"/>
              </w:rPr>
              <w:t>Measure Description</w:t>
            </w:r>
          </w:p>
        </w:tc>
        <w:tc>
          <w:tcPr>
            <w:tcW w:w="2063" w:type="dxa"/>
            <w:tcBorders>
              <w:bottom w:val="single" w:sz="4" w:space="0" w:color="auto"/>
            </w:tcBorders>
            <w:shd w:val="clear" w:color="auto" w:fill="auto"/>
          </w:tcPr>
          <w:p w14:paraId="0170D240" w14:textId="77777777" w:rsidR="00273125" w:rsidRPr="009E7CF5" w:rsidRDefault="00273125" w:rsidP="00FF5057">
            <w:pPr>
              <w:jc w:val="center"/>
              <w:rPr>
                <w:rFonts w:ascii="Arial" w:hAnsi="Arial" w:cs="Arial"/>
                <w:b/>
                <w:color w:val="000000" w:themeColor="text1"/>
              </w:rPr>
            </w:pPr>
            <w:r w:rsidRPr="009E7CF5">
              <w:rPr>
                <w:rFonts w:ascii="Arial" w:hAnsi="Arial" w:cs="Arial"/>
                <w:b/>
                <w:color w:val="000000" w:themeColor="text1"/>
              </w:rPr>
              <w:t>Measurement Period</w:t>
            </w:r>
          </w:p>
        </w:tc>
        <w:tc>
          <w:tcPr>
            <w:tcW w:w="2063" w:type="dxa"/>
            <w:tcBorders>
              <w:bottom w:val="single" w:sz="4" w:space="0" w:color="auto"/>
            </w:tcBorders>
            <w:shd w:val="clear" w:color="auto" w:fill="auto"/>
          </w:tcPr>
          <w:p w14:paraId="603E99BF" w14:textId="77777777" w:rsidR="00273125" w:rsidRPr="009E7CF5" w:rsidRDefault="00273125" w:rsidP="00FF5057">
            <w:pPr>
              <w:jc w:val="center"/>
              <w:rPr>
                <w:rFonts w:ascii="Arial" w:hAnsi="Arial" w:cs="Arial"/>
                <w:b/>
                <w:color w:val="000000" w:themeColor="text1"/>
              </w:rPr>
            </w:pPr>
            <w:r w:rsidRPr="009E7CF5">
              <w:rPr>
                <w:rFonts w:ascii="Arial" w:hAnsi="Arial" w:cs="Arial"/>
                <w:b/>
                <w:color w:val="000000" w:themeColor="text1"/>
              </w:rPr>
              <w:t>Benchmark to Qualify</w:t>
            </w:r>
          </w:p>
        </w:tc>
      </w:tr>
      <w:tr w:rsidR="00273125" w:rsidRPr="005A461A" w14:paraId="13F7B038" w14:textId="77777777" w:rsidTr="00A71846">
        <w:trPr>
          <w:trHeight w:val="207"/>
          <w:jc w:val="center"/>
        </w:trPr>
        <w:tc>
          <w:tcPr>
            <w:tcW w:w="2760" w:type="dxa"/>
            <w:shd w:val="clear" w:color="auto" w:fill="FFFFFF" w:themeFill="background1"/>
          </w:tcPr>
          <w:p w14:paraId="0FF8670E" w14:textId="52ED0519" w:rsidR="00273125" w:rsidRPr="009E7CF5" w:rsidRDefault="00273125" w:rsidP="00FF5057">
            <w:pPr>
              <w:rPr>
                <w:rFonts w:ascii="Arial" w:eastAsia="Times New Roman" w:hAnsi="Arial" w:cs="Arial"/>
                <w:color w:val="000000" w:themeColor="text1"/>
              </w:rPr>
            </w:pPr>
            <w:r w:rsidRPr="009E7CF5">
              <w:rPr>
                <w:rFonts w:ascii="Arial" w:eastAsia="Times New Roman" w:hAnsi="Arial" w:cs="Arial"/>
                <w:color w:val="000000" w:themeColor="text1"/>
              </w:rPr>
              <w:t>Timeliness of Prenatal Care</w:t>
            </w:r>
          </w:p>
        </w:tc>
        <w:tc>
          <w:tcPr>
            <w:tcW w:w="2395" w:type="dxa"/>
            <w:shd w:val="clear" w:color="auto" w:fill="FFFFFF" w:themeFill="background1"/>
          </w:tcPr>
          <w:p w14:paraId="47963D08" w14:textId="735E55F2" w:rsidR="00273125" w:rsidRPr="009E7CF5" w:rsidRDefault="00273125" w:rsidP="00FF5057">
            <w:pPr>
              <w:rPr>
                <w:rFonts w:ascii="Arial" w:eastAsia="Times New Roman" w:hAnsi="Arial" w:cs="Arial"/>
                <w:color w:val="000000" w:themeColor="text1"/>
              </w:rPr>
            </w:pPr>
            <w:r w:rsidRPr="009E7CF5">
              <w:rPr>
                <w:rFonts w:ascii="Arial" w:eastAsia="Times New Roman" w:hAnsi="Arial" w:cs="Arial"/>
                <w:color w:val="000000" w:themeColor="text1"/>
              </w:rPr>
              <w:t xml:space="preserve">The percentage of deliveries in which women had a prenatal care visit in the first trimester, on or before the enrollment start date or within 42 days of enrollment </w:t>
            </w:r>
            <w:r w:rsidR="003B6CC4">
              <w:rPr>
                <w:rFonts w:ascii="Arial" w:eastAsia="Times New Roman" w:hAnsi="Arial" w:cs="Arial"/>
                <w:color w:val="000000" w:themeColor="text1"/>
              </w:rPr>
              <w:t xml:space="preserve">in the organization </w:t>
            </w:r>
            <w:r w:rsidRPr="009E7CF5">
              <w:rPr>
                <w:rFonts w:ascii="Arial" w:eastAsia="Times New Roman" w:hAnsi="Arial" w:cs="Arial"/>
                <w:color w:val="000000" w:themeColor="text1"/>
              </w:rPr>
              <w:t xml:space="preserve">using HEDIS </w:t>
            </w:r>
            <w:r w:rsidR="004A6007" w:rsidRPr="009E7CF5">
              <w:rPr>
                <w:rFonts w:ascii="Arial" w:eastAsia="Times New Roman" w:hAnsi="Arial" w:cs="Arial"/>
                <w:color w:val="000000" w:themeColor="text1"/>
              </w:rPr>
              <w:t xml:space="preserve">Measurement Year </w:t>
            </w:r>
            <w:r w:rsidRPr="009E7CF5">
              <w:rPr>
                <w:rFonts w:ascii="Arial" w:eastAsia="Times New Roman" w:hAnsi="Arial" w:cs="Arial"/>
                <w:color w:val="000000" w:themeColor="text1"/>
              </w:rPr>
              <w:t>202</w:t>
            </w:r>
            <w:r w:rsidR="00474550" w:rsidRPr="009E7CF5">
              <w:rPr>
                <w:rFonts w:ascii="Arial" w:eastAsia="Times New Roman" w:hAnsi="Arial" w:cs="Arial"/>
                <w:color w:val="000000" w:themeColor="text1"/>
              </w:rPr>
              <w:t>2</w:t>
            </w:r>
            <w:r w:rsidRPr="009E7CF5">
              <w:rPr>
                <w:rFonts w:ascii="Arial" w:eastAsia="Times New Roman" w:hAnsi="Arial" w:cs="Arial"/>
                <w:color w:val="000000" w:themeColor="text1"/>
              </w:rPr>
              <w:t xml:space="preserve"> specifications</w:t>
            </w:r>
          </w:p>
        </w:tc>
        <w:tc>
          <w:tcPr>
            <w:tcW w:w="2063" w:type="dxa"/>
            <w:shd w:val="clear" w:color="auto" w:fill="FFFFFF" w:themeFill="background1"/>
          </w:tcPr>
          <w:p w14:paraId="69B0378B" w14:textId="00E23474" w:rsidR="00273125" w:rsidRPr="009E7CF5" w:rsidRDefault="004A6007" w:rsidP="00FF5057">
            <w:pPr>
              <w:jc w:val="center"/>
              <w:rPr>
                <w:rFonts w:ascii="Arial" w:eastAsia="Times New Roman" w:hAnsi="Arial" w:cs="Arial"/>
                <w:color w:val="000000" w:themeColor="text1"/>
              </w:rPr>
            </w:pPr>
            <w:r w:rsidRPr="009E7CF5">
              <w:rPr>
                <w:rFonts w:ascii="Arial" w:eastAsia="Times New Roman" w:hAnsi="Arial" w:cs="Arial"/>
                <w:color w:val="000000" w:themeColor="text1"/>
              </w:rPr>
              <w:t>HEDIS Measurement Year 2022</w:t>
            </w:r>
          </w:p>
        </w:tc>
        <w:tc>
          <w:tcPr>
            <w:tcW w:w="2063" w:type="dxa"/>
            <w:shd w:val="clear" w:color="auto" w:fill="FFFFFF" w:themeFill="background1"/>
          </w:tcPr>
          <w:p w14:paraId="284FAEF5" w14:textId="6C1A73E4" w:rsidR="00273125" w:rsidRPr="009E7CF5" w:rsidRDefault="000546F5" w:rsidP="00FF5057">
            <w:pPr>
              <w:jc w:val="center"/>
              <w:rPr>
                <w:rFonts w:ascii="Arial" w:eastAsia="Times New Roman" w:hAnsi="Arial" w:cs="Arial"/>
                <w:color w:val="000000" w:themeColor="text1"/>
                <w:highlight w:val="yellow"/>
              </w:rPr>
            </w:pPr>
            <w:r w:rsidRPr="009E7CF5">
              <w:rPr>
                <w:rFonts w:ascii="Arial" w:eastAsia="Times New Roman" w:hAnsi="Arial" w:cs="Arial"/>
                <w:color w:val="000000" w:themeColor="text1"/>
              </w:rPr>
              <w:t>83.53%</w:t>
            </w:r>
          </w:p>
        </w:tc>
      </w:tr>
      <w:tr w:rsidR="00273125" w:rsidRPr="005A461A" w14:paraId="65F87D0B" w14:textId="77777777" w:rsidTr="00A71846">
        <w:trPr>
          <w:trHeight w:val="195"/>
          <w:jc w:val="center"/>
        </w:trPr>
        <w:tc>
          <w:tcPr>
            <w:tcW w:w="2760" w:type="dxa"/>
            <w:shd w:val="clear" w:color="auto" w:fill="FFFFFF" w:themeFill="background1"/>
          </w:tcPr>
          <w:p w14:paraId="20300533" w14:textId="6434F88C" w:rsidR="00273125" w:rsidRPr="009E7CF5" w:rsidRDefault="00273125" w:rsidP="00FF5057">
            <w:pPr>
              <w:rPr>
                <w:rFonts w:ascii="Arial" w:eastAsia="Times New Roman" w:hAnsi="Arial" w:cs="Arial"/>
                <w:color w:val="000000" w:themeColor="text1"/>
              </w:rPr>
            </w:pPr>
            <w:r w:rsidRPr="009E7CF5">
              <w:rPr>
                <w:rFonts w:ascii="Arial" w:eastAsia="Times New Roman" w:hAnsi="Arial" w:cs="Arial"/>
                <w:color w:val="000000" w:themeColor="text1"/>
              </w:rPr>
              <w:t>Postpartum Care</w:t>
            </w:r>
          </w:p>
        </w:tc>
        <w:tc>
          <w:tcPr>
            <w:tcW w:w="2395" w:type="dxa"/>
            <w:shd w:val="clear" w:color="auto" w:fill="FFFFFF" w:themeFill="background1"/>
          </w:tcPr>
          <w:p w14:paraId="6D44397C" w14:textId="5D6F24C6" w:rsidR="00273125" w:rsidRPr="009E7CF5" w:rsidRDefault="00273125" w:rsidP="00FF5057">
            <w:pPr>
              <w:rPr>
                <w:rFonts w:ascii="Arial" w:eastAsia="Times New Roman" w:hAnsi="Arial" w:cs="Arial"/>
                <w:color w:val="000000" w:themeColor="text1"/>
              </w:rPr>
            </w:pPr>
            <w:r w:rsidRPr="009E7CF5">
              <w:rPr>
                <w:rFonts w:ascii="Arial" w:eastAsia="Times New Roman" w:hAnsi="Arial" w:cs="Arial"/>
                <w:color w:val="000000" w:themeColor="text1"/>
              </w:rPr>
              <w:t xml:space="preserve">Percentage of women who had a postpartum visit on or between 21 </w:t>
            </w:r>
            <w:r w:rsidRPr="009E7CF5">
              <w:rPr>
                <w:rFonts w:ascii="Arial" w:eastAsia="Times New Roman" w:hAnsi="Arial" w:cs="Arial"/>
                <w:color w:val="000000" w:themeColor="text1"/>
              </w:rPr>
              <w:lastRenderedPageBreak/>
              <w:t xml:space="preserve">and 56 days after delivery using HEDIS </w:t>
            </w:r>
            <w:r w:rsidR="004A6007" w:rsidRPr="009E7CF5">
              <w:rPr>
                <w:rFonts w:ascii="Arial" w:eastAsia="Times New Roman" w:hAnsi="Arial" w:cs="Arial"/>
                <w:color w:val="000000" w:themeColor="text1"/>
              </w:rPr>
              <w:t xml:space="preserve">Measurement Year </w:t>
            </w:r>
            <w:r w:rsidRPr="009E7CF5">
              <w:rPr>
                <w:rFonts w:ascii="Arial" w:eastAsia="Times New Roman" w:hAnsi="Arial" w:cs="Arial"/>
                <w:color w:val="000000" w:themeColor="text1"/>
              </w:rPr>
              <w:t>202</w:t>
            </w:r>
            <w:r w:rsidR="00474550" w:rsidRPr="009E7CF5">
              <w:rPr>
                <w:rFonts w:ascii="Arial" w:eastAsia="Times New Roman" w:hAnsi="Arial" w:cs="Arial"/>
                <w:color w:val="000000" w:themeColor="text1"/>
              </w:rPr>
              <w:t>2</w:t>
            </w:r>
            <w:r w:rsidRPr="009E7CF5">
              <w:rPr>
                <w:rFonts w:ascii="Arial" w:eastAsia="Times New Roman" w:hAnsi="Arial" w:cs="Arial"/>
                <w:color w:val="000000" w:themeColor="text1"/>
              </w:rPr>
              <w:t xml:space="preserve"> specifications</w:t>
            </w:r>
          </w:p>
        </w:tc>
        <w:tc>
          <w:tcPr>
            <w:tcW w:w="2063" w:type="dxa"/>
            <w:shd w:val="clear" w:color="auto" w:fill="FFFFFF" w:themeFill="background1"/>
          </w:tcPr>
          <w:p w14:paraId="6D5E4095" w14:textId="0102E47E" w:rsidR="00273125" w:rsidRPr="009E7CF5" w:rsidRDefault="004A6007" w:rsidP="00FF5057">
            <w:pPr>
              <w:jc w:val="center"/>
              <w:rPr>
                <w:rFonts w:ascii="Arial" w:eastAsia="Times New Roman" w:hAnsi="Arial" w:cs="Arial"/>
                <w:color w:val="000000" w:themeColor="text1"/>
              </w:rPr>
            </w:pPr>
            <w:r w:rsidRPr="009E7CF5">
              <w:rPr>
                <w:rFonts w:ascii="Arial" w:eastAsia="Times New Roman" w:hAnsi="Arial" w:cs="Arial"/>
                <w:color w:val="000000" w:themeColor="text1"/>
              </w:rPr>
              <w:lastRenderedPageBreak/>
              <w:t>HEDIS Measurement Year 2022</w:t>
            </w:r>
          </w:p>
        </w:tc>
        <w:tc>
          <w:tcPr>
            <w:tcW w:w="2063" w:type="dxa"/>
            <w:shd w:val="clear" w:color="auto" w:fill="FFFFFF" w:themeFill="background1"/>
          </w:tcPr>
          <w:p w14:paraId="53E07BC1" w14:textId="7CABA5CA" w:rsidR="00273125" w:rsidRPr="009E7CF5" w:rsidRDefault="000546F5" w:rsidP="00FF5057">
            <w:pPr>
              <w:jc w:val="center"/>
              <w:rPr>
                <w:rFonts w:ascii="Arial" w:eastAsia="Times New Roman" w:hAnsi="Arial" w:cs="Arial"/>
                <w:color w:val="000000" w:themeColor="text1"/>
              </w:rPr>
            </w:pPr>
            <w:r w:rsidRPr="009E7CF5">
              <w:rPr>
                <w:rFonts w:ascii="Arial" w:eastAsia="Times New Roman" w:hAnsi="Arial" w:cs="Arial"/>
                <w:color w:val="000000" w:themeColor="text1"/>
              </w:rPr>
              <w:t>76.18%</w:t>
            </w:r>
          </w:p>
        </w:tc>
      </w:tr>
      <w:tr w:rsidR="00273125" w:rsidRPr="005A461A" w14:paraId="1FA1C4C2" w14:textId="77777777" w:rsidTr="00A71846">
        <w:trPr>
          <w:trHeight w:val="2987"/>
          <w:jc w:val="center"/>
        </w:trPr>
        <w:tc>
          <w:tcPr>
            <w:tcW w:w="2760" w:type="dxa"/>
            <w:shd w:val="clear" w:color="auto" w:fill="FFFFFF" w:themeFill="background1"/>
          </w:tcPr>
          <w:p w14:paraId="08611C88" w14:textId="77777777" w:rsidR="004F63AA" w:rsidRPr="009E7CF5" w:rsidRDefault="004F63AA" w:rsidP="00FF5057">
            <w:pPr>
              <w:rPr>
                <w:rFonts w:ascii="Arial" w:eastAsia="Times New Roman" w:hAnsi="Arial" w:cs="Arial"/>
                <w:color w:val="000000" w:themeColor="text1"/>
              </w:rPr>
            </w:pPr>
          </w:p>
          <w:p w14:paraId="06B76B11" w14:textId="77777777" w:rsidR="004F63AA" w:rsidRPr="009E7CF5" w:rsidRDefault="004F63AA" w:rsidP="00FF5057">
            <w:pPr>
              <w:rPr>
                <w:rFonts w:ascii="Arial" w:eastAsia="Times New Roman" w:hAnsi="Arial" w:cs="Arial"/>
                <w:color w:val="000000" w:themeColor="text1"/>
              </w:rPr>
            </w:pPr>
          </w:p>
          <w:p w14:paraId="360EF53B" w14:textId="77777777" w:rsidR="004F63AA" w:rsidRPr="009E7CF5" w:rsidRDefault="004F63AA" w:rsidP="00FF5057">
            <w:pPr>
              <w:rPr>
                <w:rFonts w:ascii="Arial" w:eastAsia="Times New Roman" w:hAnsi="Arial" w:cs="Arial"/>
                <w:color w:val="000000" w:themeColor="text1"/>
              </w:rPr>
            </w:pPr>
          </w:p>
          <w:p w14:paraId="71E0D8F8" w14:textId="77777777" w:rsidR="004F63AA" w:rsidRPr="009E7CF5" w:rsidRDefault="004F63AA" w:rsidP="00FF5057">
            <w:pPr>
              <w:rPr>
                <w:rFonts w:ascii="Arial" w:eastAsia="Times New Roman" w:hAnsi="Arial" w:cs="Arial"/>
                <w:color w:val="000000" w:themeColor="text1"/>
              </w:rPr>
            </w:pPr>
          </w:p>
          <w:p w14:paraId="08E1F859" w14:textId="76E2B258" w:rsidR="00273125" w:rsidRPr="009E7CF5" w:rsidRDefault="00273125" w:rsidP="00FF5057">
            <w:pPr>
              <w:rPr>
                <w:rFonts w:ascii="Arial" w:eastAsia="Times New Roman" w:hAnsi="Arial" w:cs="Arial"/>
                <w:color w:val="000000" w:themeColor="text1"/>
              </w:rPr>
            </w:pPr>
            <w:r w:rsidRPr="009E7CF5">
              <w:rPr>
                <w:rFonts w:ascii="Arial" w:eastAsia="Times New Roman" w:hAnsi="Arial" w:cs="Arial"/>
                <w:color w:val="000000" w:themeColor="text1"/>
              </w:rPr>
              <w:t>Florida Medicaid Cesarean Section Rate</w:t>
            </w:r>
          </w:p>
        </w:tc>
        <w:tc>
          <w:tcPr>
            <w:tcW w:w="2395" w:type="dxa"/>
            <w:shd w:val="clear" w:color="auto" w:fill="FFFFFF" w:themeFill="background1"/>
          </w:tcPr>
          <w:p w14:paraId="28B3FA44" w14:textId="77AC7B73" w:rsidR="00273125" w:rsidRPr="009E7CF5" w:rsidRDefault="00273125" w:rsidP="00FF5057">
            <w:pPr>
              <w:rPr>
                <w:rFonts w:ascii="Arial" w:eastAsia="Times New Roman" w:hAnsi="Arial" w:cs="Arial"/>
                <w:color w:val="000000" w:themeColor="text1"/>
              </w:rPr>
            </w:pPr>
            <w:r w:rsidRPr="009E7CF5">
              <w:rPr>
                <w:rFonts w:ascii="Arial" w:eastAsia="Times New Roman" w:hAnsi="Arial" w:cs="Arial"/>
                <w:color w:val="000000" w:themeColor="text1"/>
              </w:rPr>
              <w:t>The percentage of single liveborn Medicaid births in a practice (pay to provider) that were delivered via cesarean section (C-section), using the 2023 Florida Medicaid Cesarean Section Rate Calculation Specifications</w:t>
            </w:r>
          </w:p>
        </w:tc>
        <w:tc>
          <w:tcPr>
            <w:tcW w:w="2063" w:type="dxa"/>
            <w:shd w:val="clear" w:color="auto" w:fill="FFFFFF" w:themeFill="background1"/>
          </w:tcPr>
          <w:p w14:paraId="1B94D1C1" w14:textId="77777777" w:rsidR="00273125" w:rsidRPr="009E7CF5" w:rsidRDefault="00273125" w:rsidP="00FF5057">
            <w:pPr>
              <w:jc w:val="center"/>
              <w:rPr>
                <w:rFonts w:ascii="Arial" w:eastAsia="Times New Roman" w:hAnsi="Arial" w:cs="Arial"/>
                <w:color w:val="000000" w:themeColor="text1"/>
              </w:rPr>
            </w:pPr>
            <w:r w:rsidRPr="009E7CF5">
              <w:rPr>
                <w:rFonts w:ascii="Arial" w:eastAsia="Times New Roman" w:hAnsi="Arial" w:cs="Arial"/>
                <w:color w:val="000000" w:themeColor="text1"/>
              </w:rPr>
              <w:t>CY 2022</w:t>
            </w:r>
          </w:p>
        </w:tc>
        <w:tc>
          <w:tcPr>
            <w:tcW w:w="2063" w:type="dxa"/>
            <w:shd w:val="clear" w:color="auto" w:fill="FFFFFF" w:themeFill="background1"/>
          </w:tcPr>
          <w:p w14:paraId="373FA4CB" w14:textId="77777777" w:rsidR="00273125" w:rsidRPr="009E7CF5" w:rsidRDefault="00273125" w:rsidP="00FF5057">
            <w:pPr>
              <w:jc w:val="center"/>
              <w:rPr>
                <w:rFonts w:ascii="Arial" w:eastAsia="Times New Roman" w:hAnsi="Arial" w:cs="Arial"/>
                <w:color w:val="000000" w:themeColor="text1"/>
              </w:rPr>
            </w:pPr>
            <w:r w:rsidRPr="009E7CF5">
              <w:rPr>
                <w:rFonts w:ascii="Arial" w:eastAsia="Times New Roman" w:hAnsi="Arial" w:cs="Arial"/>
                <w:color w:val="000000" w:themeColor="text1"/>
              </w:rPr>
              <w:t>&lt;35%</w:t>
            </w:r>
          </w:p>
        </w:tc>
      </w:tr>
    </w:tbl>
    <w:p w14:paraId="7882CC5D" w14:textId="77777777" w:rsidR="00273125" w:rsidRDefault="00273125" w:rsidP="00273125">
      <w:pPr>
        <w:spacing w:after="0"/>
        <w:jc w:val="both"/>
        <w:rPr>
          <w:rFonts w:ascii="Arial" w:hAnsi="Arial" w:cs="Arial"/>
          <w:b/>
          <w:bCs/>
        </w:rPr>
      </w:pPr>
    </w:p>
    <w:p w14:paraId="562881A4" w14:textId="77777777" w:rsidR="00273125" w:rsidRDefault="00273125" w:rsidP="00273125">
      <w:pPr>
        <w:spacing w:after="0"/>
        <w:jc w:val="both"/>
        <w:rPr>
          <w:rFonts w:ascii="Arial" w:hAnsi="Arial" w:cs="Arial"/>
          <w:b/>
          <w:bCs/>
        </w:rPr>
      </w:pPr>
    </w:p>
    <w:p w14:paraId="0AF6FA35" w14:textId="2E044A8C" w:rsidR="00273125" w:rsidRDefault="00273125" w:rsidP="000823DB">
      <w:pPr>
        <w:spacing w:after="0"/>
        <w:rPr>
          <w:rFonts w:ascii="Arial" w:hAnsi="Arial" w:cs="Arial"/>
        </w:rPr>
      </w:pPr>
      <w:r w:rsidRPr="00942288">
        <w:rPr>
          <w:rFonts w:ascii="Arial" w:hAnsi="Arial" w:cs="Arial"/>
          <w:b/>
          <w:bCs/>
        </w:rPr>
        <w:t>NOTE:</w:t>
      </w:r>
      <w:r>
        <w:rPr>
          <w:rFonts w:ascii="Arial" w:hAnsi="Arial" w:cs="Arial"/>
        </w:rPr>
        <w:t xml:space="preserve"> OB/GYNs</w:t>
      </w:r>
      <w:r w:rsidRPr="00181F26">
        <w:rPr>
          <w:rFonts w:ascii="Arial" w:hAnsi="Arial" w:cs="Arial"/>
        </w:rPr>
        <w:t xml:space="preserve"> who qualified for the MPIP Year 7 (October 1, 2022 – September 30, 2023) through an Individual Health Plan MPIP (IHP Incentive Program) </w:t>
      </w:r>
      <w:r>
        <w:rPr>
          <w:rFonts w:ascii="Arial" w:hAnsi="Arial" w:cs="Arial"/>
        </w:rPr>
        <w:t xml:space="preserve">will </w:t>
      </w:r>
      <w:r w:rsidRPr="00181F26">
        <w:rPr>
          <w:rFonts w:ascii="Arial" w:hAnsi="Arial" w:cs="Arial"/>
        </w:rPr>
        <w:t xml:space="preserve">continue to be qualified for the </w:t>
      </w:r>
      <w:r w:rsidR="000823DB">
        <w:rPr>
          <w:rFonts w:ascii="Arial" w:hAnsi="Arial" w:cs="Arial"/>
        </w:rPr>
        <w:t xml:space="preserve">Agency </w:t>
      </w:r>
      <w:r w:rsidRPr="00181F26">
        <w:rPr>
          <w:rFonts w:ascii="Arial" w:hAnsi="Arial" w:cs="Arial"/>
        </w:rPr>
        <w:t xml:space="preserve">MPIP </w:t>
      </w:r>
      <w:r w:rsidR="004A6007">
        <w:rPr>
          <w:rFonts w:ascii="Arial" w:hAnsi="Arial" w:cs="Arial"/>
        </w:rPr>
        <w:t xml:space="preserve">model </w:t>
      </w:r>
      <w:r w:rsidR="00564374">
        <w:rPr>
          <w:rFonts w:ascii="Arial" w:hAnsi="Arial" w:cs="Arial"/>
        </w:rPr>
        <w:t xml:space="preserve">for the program year </w:t>
      </w:r>
      <w:r w:rsidRPr="00181F26">
        <w:rPr>
          <w:rFonts w:ascii="Arial" w:hAnsi="Arial" w:cs="Arial"/>
        </w:rPr>
        <w:t xml:space="preserve">beginning </w:t>
      </w:r>
      <w:r w:rsidRPr="00942288">
        <w:rPr>
          <w:rFonts w:ascii="Arial" w:hAnsi="Arial" w:cs="Arial"/>
        </w:rPr>
        <w:t>October 1, 2023</w:t>
      </w:r>
      <w:r w:rsidRPr="00181F26">
        <w:rPr>
          <w:rFonts w:ascii="Arial" w:hAnsi="Arial" w:cs="Arial"/>
        </w:rPr>
        <w:t>.</w:t>
      </w:r>
    </w:p>
    <w:p w14:paraId="1DCC6E6A" w14:textId="569CD475" w:rsidR="00E43043" w:rsidRDefault="00E43043" w:rsidP="00287A8D">
      <w:pPr>
        <w:spacing w:after="0"/>
        <w:jc w:val="both"/>
        <w:rPr>
          <w:rFonts w:ascii="Arial" w:hAnsi="Arial" w:cs="Arial"/>
        </w:rPr>
      </w:pPr>
    </w:p>
    <w:p w14:paraId="598F6AC3" w14:textId="3037F8A5" w:rsidR="002B0076" w:rsidRDefault="002B0076" w:rsidP="002B0076">
      <w:pPr>
        <w:spacing w:after="0"/>
        <w:rPr>
          <w:rFonts w:ascii="Arial" w:hAnsi="Arial" w:cs="Arial"/>
        </w:rPr>
      </w:pPr>
      <w:r w:rsidRPr="002B0076">
        <w:rPr>
          <w:rFonts w:ascii="Arial" w:hAnsi="Arial" w:cs="Arial"/>
          <w:b/>
          <w:bCs/>
        </w:rPr>
        <w:t>Specialty Physicians</w:t>
      </w:r>
      <w:r>
        <w:rPr>
          <w:rFonts w:ascii="Arial" w:hAnsi="Arial" w:cs="Arial"/>
        </w:rPr>
        <w:t xml:space="preserve">: </w:t>
      </w:r>
      <w:r w:rsidRPr="002B0076">
        <w:rPr>
          <w:rFonts w:ascii="Arial" w:hAnsi="Arial" w:cs="Arial"/>
        </w:rPr>
        <w:t>Qualified providers are all specialty physicians, regardless of board certification.</w:t>
      </w:r>
      <w:r>
        <w:rPr>
          <w:rFonts w:ascii="Arial" w:hAnsi="Arial" w:cs="Arial"/>
        </w:rPr>
        <w:t xml:space="preserve"> </w:t>
      </w:r>
      <w:r w:rsidRPr="002B0076">
        <w:rPr>
          <w:rFonts w:ascii="Arial" w:hAnsi="Arial" w:cs="Arial"/>
        </w:rPr>
        <w:t>The</w:t>
      </w:r>
      <w:r w:rsidR="00564374">
        <w:rPr>
          <w:rFonts w:ascii="Arial" w:hAnsi="Arial" w:cs="Arial"/>
        </w:rPr>
        <w:t>se</w:t>
      </w:r>
      <w:r w:rsidRPr="002B0076">
        <w:rPr>
          <w:rFonts w:ascii="Arial" w:hAnsi="Arial" w:cs="Arial"/>
        </w:rPr>
        <w:t xml:space="preserve"> criteria for Specialists will be in effect from </w:t>
      </w:r>
      <w:r w:rsidRPr="007264CC">
        <w:rPr>
          <w:rFonts w:ascii="Arial" w:hAnsi="Arial" w:cs="Arial"/>
          <w:i/>
          <w:color w:val="FF0000"/>
        </w:rPr>
        <w:t>[October 1, 2023 - September 30, 2024]</w:t>
      </w:r>
      <w:r w:rsidRPr="002B0076">
        <w:rPr>
          <w:rFonts w:ascii="Arial" w:hAnsi="Arial" w:cs="Arial"/>
          <w:color w:val="FF0000"/>
        </w:rPr>
        <w:t xml:space="preserve">.  </w:t>
      </w:r>
    </w:p>
    <w:p w14:paraId="03DD4785" w14:textId="77777777" w:rsidR="002B0076" w:rsidRDefault="002B0076" w:rsidP="00287A8D">
      <w:pPr>
        <w:spacing w:after="0"/>
        <w:jc w:val="both"/>
        <w:rPr>
          <w:rFonts w:ascii="Arial" w:hAnsi="Arial" w:cs="Arial"/>
        </w:rPr>
      </w:pPr>
    </w:p>
    <w:p w14:paraId="419D5C83" w14:textId="6704588A" w:rsidR="00E43043" w:rsidRDefault="00942288" w:rsidP="00287A8D">
      <w:pPr>
        <w:spacing w:after="0"/>
        <w:jc w:val="both"/>
        <w:rPr>
          <w:rFonts w:ascii="Arial" w:hAnsi="Arial" w:cs="Arial"/>
        </w:rPr>
      </w:pPr>
      <w:r w:rsidRPr="00942288">
        <w:rPr>
          <w:rFonts w:ascii="Arial" w:hAnsi="Arial" w:cs="Arial"/>
        </w:rPr>
        <w:t>The criteria for</w:t>
      </w:r>
      <w:r>
        <w:rPr>
          <w:rFonts w:ascii="Arial" w:hAnsi="Arial" w:cs="Arial"/>
        </w:rPr>
        <w:t xml:space="preserve"> </w:t>
      </w:r>
      <w:r w:rsidRPr="00942288">
        <w:rPr>
          <w:rFonts w:ascii="Arial" w:hAnsi="Arial" w:cs="Arial"/>
        </w:rPr>
        <w:t>pediatric primary care physicians</w:t>
      </w:r>
      <w:r>
        <w:rPr>
          <w:rFonts w:ascii="Arial" w:hAnsi="Arial" w:cs="Arial"/>
        </w:rPr>
        <w:t xml:space="preserve">, </w:t>
      </w:r>
      <w:r w:rsidRPr="00942288">
        <w:rPr>
          <w:rFonts w:ascii="Arial" w:hAnsi="Arial" w:cs="Arial"/>
        </w:rPr>
        <w:t>OB/GYNs,</w:t>
      </w:r>
      <w:r>
        <w:rPr>
          <w:rFonts w:ascii="Arial" w:hAnsi="Arial" w:cs="Arial"/>
        </w:rPr>
        <w:t xml:space="preserve"> and </w:t>
      </w:r>
      <w:r w:rsidRPr="00942288">
        <w:rPr>
          <w:rFonts w:ascii="Arial" w:hAnsi="Arial" w:cs="Arial"/>
        </w:rPr>
        <w:t>special</w:t>
      </w:r>
      <w:r>
        <w:rPr>
          <w:rFonts w:ascii="Arial" w:hAnsi="Arial" w:cs="Arial"/>
        </w:rPr>
        <w:t>ty physicians</w:t>
      </w:r>
      <w:r w:rsidRPr="00942288">
        <w:rPr>
          <w:rFonts w:ascii="Arial" w:hAnsi="Arial" w:cs="Arial"/>
        </w:rPr>
        <w:t xml:space="preserve"> listed above will be in effect for one year from </w:t>
      </w:r>
      <w:r w:rsidR="002B0076" w:rsidRPr="002B0076">
        <w:rPr>
          <w:rFonts w:ascii="Arial" w:hAnsi="Arial" w:cs="Arial"/>
          <w:color w:val="FF0000"/>
        </w:rPr>
        <w:t>[</w:t>
      </w:r>
      <w:r w:rsidRPr="007264CC">
        <w:rPr>
          <w:rFonts w:ascii="Arial" w:hAnsi="Arial" w:cs="Arial"/>
          <w:i/>
          <w:color w:val="FF0000"/>
        </w:rPr>
        <w:t>October 1, 2023 - September 30, 2024</w:t>
      </w:r>
      <w:r w:rsidR="002B0076" w:rsidRPr="007264CC">
        <w:rPr>
          <w:rFonts w:ascii="Arial" w:hAnsi="Arial" w:cs="Arial"/>
          <w:i/>
          <w:color w:val="FF0000"/>
        </w:rPr>
        <w:t>]</w:t>
      </w:r>
      <w:r w:rsidRPr="00942288">
        <w:rPr>
          <w:rFonts w:ascii="Arial" w:hAnsi="Arial" w:cs="Arial"/>
        </w:rPr>
        <w:t xml:space="preserve">.  </w:t>
      </w:r>
      <w:bookmarkStart w:id="2" w:name="_Hlk129779177"/>
      <w:r w:rsidRPr="00942288">
        <w:rPr>
          <w:rFonts w:ascii="Arial" w:hAnsi="Arial" w:cs="Arial"/>
        </w:rPr>
        <w:t xml:space="preserve">Halfway through the program, </w:t>
      </w:r>
      <w:r w:rsidRPr="007264CC">
        <w:rPr>
          <w:rFonts w:ascii="Arial" w:hAnsi="Arial" w:cs="Arial"/>
          <w:i/>
          <w:color w:val="FF0000"/>
        </w:rPr>
        <w:t>[Plan Name]</w:t>
      </w:r>
      <w:r w:rsidRPr="007E6A60">
        <w:rPr>
          <w:rFonts w:ascii="Arial" w:hAnsi="Arial" w:cs="Arial"/>
          <w:color w:val="FF0000"/>
        </w:rPr>
        <w:t xml:space="preserve"> </w:t>
      </w:r>
      <w:r w:rsidRPr="00942288">
        <w:rPr>
          <w:rFonts w:ascii="Arial" w:hAnsi="Arial" w:cs="Arial"/>
        </w:rPr>
        <w:t>will reassess all eligible</w:t>
      </w:r>
      <w:r>
        <w:rPr>
          <w:rFonts w:ascii="Arial" w:hAnsi="Arial" w:cs="Arial"/>
        </w:rPr>
        <w:t xml:space="preserve"> primary care physicians and OB/GYN</w:t>
      </w:r>
      <w:r w:rsidRPr="00942288">
        <w:rPr>
          <w:rFonts w:ascii="Arial" w:hAnsi="Arial" w:cs="Arial"/>
        </w:rPr>
        <w:t xml:space="preserve"> providers to determine if any additional providers qualify for the </w:t>
      </w:r>
      <w:r w:rsidR="004A6007">
        <w:rPr>
          <w:rFonts w:ascii="Arial" w:hAnsi="Arial" w:cs="Arial"/>
        </w:rPr>
        <w:t>Agency MPIP model</w:t>
      </w:r>
      <w:r w:rsidRPr="00942288">
        <w:rPr>
          <w:rFonts w:ascii="Arial" w:hAnsi="Arial" w:cs="Arial"/>
        </w:rPr>
        <w:t>.</w:t>
      </w:r>
      <w:r>
        <w:rPr>
          <w:rFonts w:ascii="Arial" w:hAnsi="Arial" w:cs="Arial"/>
        </w:rPr>
        <w:t xml:space="preserve"> </w:t>
      </w:r>
      <w:r w:rsidR="007264CC">
        <w:rPr>
          <w:rFonts w:ascii="Arial" w:hAnsi="Arial" w:cs="Arial"/>
        </w:rPr>
        <w:t>S</w:t>
      </w:r>
      <w:r w:rsidR="007264CC" w:rsidRPr="007264CC">
        <w:rPr>
          <w:rFonts w:ascii="Arial" w:hAnsi="Arial" w:cs="Arial"/>
        </w:rPr>
        <w:t>pecialty physicians are not required to meet any specific qualifying criteria and</w:t>
      </w:r>
      <w:r w:rsidR="007264CC">
        <w:rPr>
          <w:rFonts w:ascii="Arial" w:hAnsi="Arial" w:cs="Arial"/>
        </w:rPr>
        <w:t xml:space="preserve"> therefore,</w:t>
      </w:r>
      <w:r w:rsidR="007264CC" w:rsidRPr="007264CC">
        <w:rPr>
          <w:rFonts w:ascii="Arial" w:hAnsi="Arial" w:cs="Arial"/>
        </w:rPr>
        <w:t xml:space="preserve"> the qualification windows</w:t>
      </w:r>
      <w:r w:rsidR="007264CC">
        <w:rPr>
          <w:rFonts w:ascii="Arial" w:hAnsi="Arial" w:cs="Arial"/>
        </w:rPr>
        <w:t xml:space="preserve"> for the MPIP</w:t>
      </w:r>
      <w:r w:rsidR="007264CC" w:rsidRPr="007264CC">
        <w:rPr>
          <w:rFonts w:ascii="Arial" w:hAnsi="Arial" w:cs="Arial"/>
        </w:rPr>
        <w:t xml:space="preserve"> do not apply.</w:t>
      </w:r>
    </w:p>
    <w:bookmarkEnd w:id="2"/>
    <w:p w14:paraId="6084EE45" w14:textId="37CB9CCD" w:rsidR="00E43043" w:rsidRDefault="00E43043" w:rsidP="00287A8D">
      <w:pPr>
        <w:spacing w:after="0"/>
        <w:jc w:val="both"/>
        <w:rPr>
          <w:rFonts w:ascii="Arial" w:hAnsi="Arial" w:cs="Arial"/>
        </w:rPr>
      </w:pPr>
    </w:p>
    <w:p w14:paraId="09D609E0" w14:textId="77777777" w:rsidR="00001E01" w:rsidRDefault="00001E01" w:rsidP="00001E01">
      <w:pPr>
        <w:jc w:val="both"/>
        <w:rPr>
          <w:rFonts w:ascii="Arial" w:hAnsi="Arial" w:cs="Arial"/>
          <w:b/>
          <w:u w:val="single"/>
        </w:rPr>
      </w:pPr>
      <w:r>
        <w:rPr>
          <w:rFonts w:ascii="Arial" w:hAnsi="Arial" w:cs="Arial"/>
          <w:b/>
          <w:u w:val="single"/>
        </w:rPr>
        <w:t>How are Payments Made?</w:t>
      </w:r>
    </w:p>
    <w:p w14:paraId="734586C7" w14:textId="6E4AA21D" w:rsidR="00001E01" w:rsidRDefault="00564374" w:rsidP="00001E01">
      <w:pPr>
        <w:jc w:val="both"/>
        <w:rPr>
          <w:rFonts w:ascii="Arial" w:hAnsi="Arial" w:cs="Arial"/>
        </w:rPr>
      </w:pPr>
      <w:r>
        <w:rPr>
          <w:rFonts w:ascii="Arial" w:hAnsi="Arial" w:cs="Arial"/>
        </w:rPr>
        <w:t>For</w:t>
      </w:r>
      <w:r w:rsidR="00001E01">
        <w:rPr>
          <w:rFonts w:ascii="Arial" w:hAnsi="Arial" w:cs="Arial"/>
        </w:rPr>
        <w:t xml:space="preserve"> dates of service </w:t>
      </w:r>
      <w:r w:rsidR="00001E01" w:rsidRPr="007264CC">
        <w:rPr>
          <w:rFonts w:ascii="Arial" w:hAnsi="Arial" w:cs="Arial"/>
          <w:i/>
          <w:color w:val="FF0000"/>
        </w:rPr>
        <w:t>[</w:t>
      </w:r>
      <w:r w:rsidR="00131B39" w:rsidRPr="007264CC">
        <w:rPr>
          <w:rFonts w:ascii="Arial" w:hAnsi="Arial" w:cs="Arial"/>
          <w:i/>
          <w:color w:val="FF0000"/>
        </w:rPr>
        <w:t>October 1, 2023-September 30, 2024]</w:t>
      </w:r>
      <w:r w:rsidR="00001E01" w:rsidRPr="007264CC">
        <w:rPr>
          <w:rFonts w:ascii="Arial" w:hAnsi="Arial" w:cs="Arial"/>
          <w:i/>
        </w:rPr>
        <w:t>,</w:t>
      </w:r>
      <w:r w:rsidR="00001E01">
        <w:rPr>
          <w:rFonts w:ascii="Arial" w:hAnsi="Arial" w:cs="Arial"/>
        </w:rPr>
        <w:t xml:space="preserve"> payments to qualified providers for all medically necessary </w:t>
      </w:r>
      <w:r w:rsidR="00131B39">
        <w:rPr>
          <w:rFonts w:ascii="Arial" w:hAnsi="Arial" w:cs="Arial"/>
        </w:rPr>
        <w:t>MPIP-</w:t>
      </w:r>
      <w:r w:rsidR="00131B39" w:rsidRPr="00131B39">
        <w:rPr>
          <w:rFonts w:ascii="Arial" w:hAnsi="Arial" w:cs="Arial"/>
          <w:iCs/>
        </w:rPr>
        <w:t>included services</w:t>
      </w:r>
      <w:r w:rsidR="00001E01" w:rsidRPr="00131B39">
        <w:rPr>
          <w:rFonts w:ascii="Arial" w:hAnsi="Arial" w:cs="Arial"/>
          <w:iCs/>
        </w:rPr>
        <w:t xml:space="preserve"> </w:t>
      </w:r>
      <w:r w:rsidR="00001E01">
        <w:rPr>
          <w:rFonts w:ascii="Arial" w:hAnsi="Arial" w:cs="Arial"/>
        </w:rPr>
        <w:t>must be at least equivalent to the appropriate Medicare Fee-for-Service (FFS) Rate, as established by the Agency.</w:t>
      </w:r>
    </w:p>
    <w:p w14:paraId="4D50672B" w14:textId="77777777" w:rsidR="00001E01" w:rsidRDefault="00001E01" w:rsidP="00001E01">
      <w:pPr>
        <w:jc w:val="both"/>
        <w:rPr>
          <w:rFonts w:ascii="Arial" w:hAnsi="Arial" w:cs="Arial"/>
        </w:rPr>
      </w:pPr>
      <w:r w:rsidRPr="00C80D30">
        <w:rPr>
          <w:rFonts w:ascii="Arial" w:hAnsi="Arial" w:cs="Arial"/>
          <w:u w:val="single"/>
        </w:rPr>
        <w:t>For FFS payments</w:t>
      </w:r>
      <w:r>
        <w:rPr>
          <w:rFonts w:ascii="Arial" w:hAnsi="Arial" w:cs="Arial"/>
        </w:rPr>
        <w:t>:</w:t>
      </w:r>
    </w:p>
    <w:p w14:paraId="2092C599" w14:textId="727A73FA" w:rsidR="00001E01" w:rsidRDefault="00001E01" w:rsidP="00001E01">
      <w:pPr>
        <w:jc w:val="both"/>
        <w:rPr>
          <w:rFonts w:ascii="Arial" w:hAnsi="Arial" w:cs="Arial"/>
        </w:rPr>
      </w:pPr>
      <w:r>
        <w:rPr>
          <w:rFonts w:ascii="Arial" w:hAnsi="Arial" w:cs="Arial"/>
        </w:rPr>
        <w:t xml:space="preserve">Payments to FFS providers will be made using a Medicare fee schedule for covered services upon submission of a clean claim for dates of service beginning on or after </w:t>
      </w:r>
      <w:r w:rsidRPr="007F46C3">
        <w:rPr>
          <w:rFonts w:ascii="Arial" w:hAnsi="Arial" w:cs="Arial"/>
          <w:i/>
          <w:color w:val="FF0000"/>
        </w:rPr>
        <w:t>[</w:t>
      </w:r>
      <w:r w:rsidR="00131B39">
        <w:rPr>
          <w:rFonts w:ascii="Arial" w:hAnsi="Arial" w:cs="Arial"/>
          <w:i/>
          <w:color w:val="FF0000"/>
        </w:rPr>
        <w:t>October 1, 2023</w:t>
      </w:r>
      <w:r w:rsidRPr="007F46C3">
        <w:rPr>
          <w:rFonts w:ascii="Arial" w:hAnsi="Arial" w:cs="Arial"/>
          <w:i/>
          <w:color w:val="FF0000"/>
        </w:rPr>
        <w:t>]</w:t>
      </w:r>
      <w:r>
        <w:rPr>
          <w:rFonts w:ascii="Arial" w:hAnsi="Arial" w:cs="Arial"/>
        </w:rPr>
        <w:t>.</w:t>
      </w:r>
    </w:p>
    <w:p w14:paraId="39B3446A" w14:textId="77777777" w:rsidR="00001E01" w:rsidRDefault="00001E01" w:rsidP="00001E01">
      <w:pPr>
        <w:jc w:val="both"/>
        <w:rPr>
          <w:rFonts w:ascii="Arial" w:hAnsi="Arial" w:cs="Arial"/>
        </w:rPr>
      </w:pPr>
      <w:r w:rsidRPr="00C80D30">
        <w:rPr>
          <w:rFonts w:ascii="Arial" w:hAnsi="Arial" w:cs="Arial"/>
          <w:u w:val="single"/>
        </w:rPr>
        <w:t>For sub</w:t>
      </w:r>
      <w:r>
        <w:rPr>
          <w:rFonts w:ascii="Arial" w:hAnsi="Arial" w:cs="Arial"/>
          <w:u w:val="single"/>
        </w:rPr>
        <w:t>-</w:t>
      </w:r>
      <w:r w:rsidRPr="00C80D30">
        <w:rPr>
          <w:rFonts w:ascii="Arial" w:hAnsi="Arial" w:cs="Arial"/>
          <w:u w:val="single"/>
        </w:rPr>
        <w:t>capitated payments</w:t>
      </w:r>
      <w:r>
        <w:rPr>
          <w:rFonts w:ascii="Arial" w:hAnsi="Arial" w:cs="Arial"/>
        </w:rPr>
        <w:t>:</w:t>
      </w:r>
    </w:p>
    <w:p w14:paraId="2D547B70" w14:textId="77777777" w:rsidR="00001E01" w:rsidRDefault="00001E01" w:rsidP="00001E01">
      <w:pPr>
        <w:jc w:val="both"/>
        <w:rPr>
          <w:rFonts w:ascii="Arial" w:hAnsi="Arial" w:cs="Arial"/>
        </w:rPr>
      </w:pPr>
      <w:r>
        <w:rPr>
          <w:rFonts w:ascii="Arial" w:hAnsi="Arial" w:cs="Arial"/>
        </w:rPr>
        <w:lastRenderedPageBreak/>
        <w:t>Payments made Per Member per Month (PMPM) to sub-capitated medical groups are adjusted to reflect the relative effect of reimbursing at the Medicare rate based on the volume and value of covered services provided.</w:t>
      </w:r>
      <w:r w:rsidRPr="005A4C72">
        <w:rPr>
          <w:rFonts w:ascii="Arial" w:hAnsi="Arial" w:cs="Arial"/>
        </w:rPr>
        <w:t xml:space="preserve"> </w:t>
      </w:r>
      <w:r w:rsidRPr="0065747D">
        <w:rPr>
          <w:rFonts w:ascii="Arial" w:hAnsi="Arial" w:cs="Arial"/>
        </w:rPr>
        <w:t>Paymen</w:t>
      </w:r>
      <w:r>
        <w:rPr>
          <w:rFonts w:ascii="Arial" w:hAnsi="Arial" w:cs="Arial"/>
        </w:rPr>
        <w:t>t to sub-capitated p</w:t>
      </w:r>
      <w:r w:rsidRPr="0065747D">
        <w:rPr>
          <w:rFonts w:ascii="Arial" w:hAnsi="Arial" w:cs="Arial"/>
        </w:rPr>
        <w:t>roviders will be made</w:t>
      </w:r>
      <w:r>
        <w:rPr>
          <w:rFonts w:ascii="Arial" w:hAnsi="Arial" w:cs="Arial"/>
        </w:rPr>
        <w:t xml:space="preserve"> </w:t>
      </w:r>
      <w:r w:rsidRPr="005A4C72">
        <w:rPr>
          <w:rFonts w:ascii="Arial" w:hAnsi="Arial" w:cs="Arial"/>
          <w:i/>
          <w:color w:val="FF0000"/>
        </w:rPr>
        <w:t>[Select either Option 1 or Option 2</w:t>
      </w:r>
      <w:r>
        <w:rPr>
          <w:rFonts w:ascii="Arial" w:hAnsi="Arial" w:cs="Arial"/>
          <w:i/>
          <w:color w:val="FF0000"/>
        </w:rPr>
        <w:t>.]</w:t>
      </w:r>
      <w:r w:rsidRPr="005A4C72">
        <w:rPr>
          <w:rFonts w:ascii="Arial" w:hAnsi="Arial" w:cs="Arial"/>
          <w:color w:val="FF0000"/>
        </w:rPr>
        <w:t xml:space="preserve"> </w:t>
      </w:r>
    </w:p>
    <w:p w14:paraId="1D1044DE" w14:textId="1406E81C" w:rsidR="00001E01" w:rsidRPr="0065747D" w:rsidRDefault="00001E01" w:rsidP="00001E01">
      <w:pPr>
        <w:jc w:val="both"/>
        <w:rPr>
          <w:rFonts w:ascii="Arial" w:hAnsi="Arial" w:cs="Arial"/>
        </w:rPr>
      </w:pPr>
      <w:r w:rsidRPr="005A4C72">
        <w:rPr>
          <w:rFonts w:ascii="Arial" w:hAnsi="Arial" w:cs="Arial"/>
          <w:i/>
          <w:color w:val="FF0000"/>
        </w:rPr>
        <w:t>Option 1:</w:t>
      </w:r>
      <w:r w:rsidRPr="005A4C72">
        <w:rPr>
          <w:rFonts w:ascii="Arial" w:hAnsi="Arial" w:cs="Arial"/>
          <w:color w:val="FF0000"/>
        </w:rPr>
        <w:t xml:space="preserve"> </w:t>
      </w:r>
      <w:r w:rsidRPr="0065747D">
        <w:rPr>
          <w:rFonts w:ascii="Arial" w:hAnsi="Arial" w:cs="Arial"/>
        </w:rPr>
        <w:t>through an enhanced prospective PMPM capitation rate beginning with capitatio</w:t>
      </w:r>
      <w:r>
        <w:rPr>
          <w:rFonts w:ascii="Arial" w:hAnsi="Arial" w:cs="Arial"/>
        </w:rPr>
        <w:t xml:space="preserve">n payments made </w:t>
      </w:r>
      <w:r w:rsidRPr="00131B39">
        <w:rPr>
          <w:rFonts w:ascii="Arial" w:hAnsi="Arial" w:cs="Arial"/>
        </w:rPr>
        <w:t xml:space="preserve">for </w:t>
      </w:r>
      <w:r w:rsidRPr="007264CC">
        <w:rPr>
          <w:rFonts w:ascii="Arial" w:hAnsi="Arial" w:cs="Arial"/>
          <w:i/>
          <w:iCs/>
          <w:color w:val="FF0000"/>
        </w:rPr>
        <w:t>[</w:t>
      </w:r>
      <w:r w:rsidR="00131B39" w:rsidRPr="007264CC">
        <w:rPr>
          <w:rFonts w:ascii="Arial" w:hAnsi="Arial" w:cs="Arial"/>
          <w:i/>
          <w:iCs/>
          <w:color w:val="FF0000"/>
        </w:rPr>
        <w:t>October 1, 2023</w:t>
      </w:r>
      <w:r w:rsidRPr="007264CC">
        <w:rPr>
          <w:rFonts w:ascii="Arial" w:hAnsi="Arial" w:cs="Arial"/>
          <w:i/>
          <w:iCs/>
          <w:color w:val="FF0000"/>
        </w:rPr>
        <w:t>]</w:t>
      </w:r>
      <w:r w:rsidRPr="00131B39">
        <w:rPr>
          <w:rFonts w:ascii="Arial" w:hAnsi="Arial" w:cs="Arial"/>
        </w:rPr>
        <w:t>.</w:t>
      </w:r>
      <w:r w:rsidRPr="0065747D">
        <w:rPr>
          <w:rFonts w:ascii="Arial" w:hAnsi="Arial" w:cs="Arial"/>
        </w:rPr>
        <w:t xml:space="preserve"> </w:t>
      </w:r>
    </w:p>
    <w:p w14:paraId="142EAF93" w14:textId="77777777" w:rsidR="00001E01" w:rsidRDefault="00001E01" w:rsidP="00001E01">
      <w:pPr>
        <w:jc w:val="both"/>
        <w:rPr>
          <w:rFonts w:ascii="Arial" w:hAnsi="Arial" w:cs="Arial"/>
        </w:rPr>
      </w:pPr>
      <w:r w:rsidRPr="005A4C72">
        <w:rPr>
          <w:rFonts w:ascii="Arial" w:hAnsi="Arial" w:cs="Arial"/>
          <w:i/>
          <w:color w:val="FF0000"/>
        </w:rPr>
        <w:t>OR, Option 2:</w:t>
      </w:r>
      <w:r w:rsidRPr="005A4C72">
        <w:rPr>
          <w:rFonts w:ascii="Arial" w:hAnsi="Arial" w:cs="Arial"/>
          <w:color w:val="FF0000"/>
        </w:rPr>
        <w:t xml:space="preserve"> </w:t>
      </w:r>
      <w:r w:rsidRPr="0065747D">
        <w:rPr>
          <w:rFonts w:ascii="Arial" w:hAnsi="Arial" w:cs="Arial"/>
        </w:rPr>
        <w:t>using a retrospective reconciliation based on encounters/claims data. At a minimum, payments will be made on a quarterly basis within 90 days following the month after the close of the quarter.</w:t>
      </w:r>
    </w:p>
    <w:p w14:paraId="480B0364" w14:textId="5EC0315C" w:rsidR="00001E01" w:rsidRDefault="00001E01" w:rsidP="00131B39">
      <w:pPr>
        <w:jc w:val="both"/>
        <w:rPr>
          <w:rFonts w:ascii="Arial" w:hAnsi="Arial" w:cs="Arial"/>
        </w:rPr>
      </w:pPr>
      <w:r>
        <w:rPr>
          <w:rFonts w:ascii="Arial" w:hAnsi="Arial" w:cs="Arial"/>
          <w:color w:val="FF0000"/>
        </w:rPr>
        <w:t xml:space="preserve"> [</w:t>
      </w:r>
      <w:r w:rsidRPr="00B0385C">
        <w:rPr>
          <w:rFonts w:ascii="Arial" w:hAnsi="Arial" w:cs="Arial"/>
          <w:i/>
          <w:color w:val="FF0000"/>
        </w:rPr>
        <w:t>If applicable, provide a schedule for any contract amendments required for provider participation in the MPIP program.</w:t>
      </w:r>
      <w:r>
        <w:rPr>
          <w:rFonts w:ascii="Arial" w:hAnsi="Arial" w:cs="Arial"/>
          <w:color w:val="FF0000"/>
        </w:rPr>
        <w:t>]</w:t>
      </w:r>
    </w:p>
    <w:p w14:paraId="27FE6C7D" w14:textId="77777777" w:rsidR="00001E01" w:rsidRDefault="00001E01" w:rsidP="00287A8D">
      <w:pPr>
        <w:spacing w:after="0"/>
        <w:jc w:val="both"/>
        <w:rPr>
          <w:rFonts w:ascii="Arial" w:hAnsi="Arial" w:cs="Arial"/>
        </w:rPr>
      </w:pPr>
    </w:p>
    <w:bookmarkEnd w:id="1"/>
    <w:p w14:paraId="754C7094" w14:textId="77777777" w:rsidR="00D91D68" w:rsidRDefault="00D91D68" w:rsidP="00D91D68">
      <w:pPr>
        <w:rPr>
          <w:rFonts w:ascii="Arial" w:hAnsi="Arial" w:cs="Arial"/>
          <w:b/>
          <w:u w:val="single"/>
        </w:rPr>
      </w:pPr>
      <w:r w:rsidRPr="00AB6365">
        <w:rPr>
          <w:rFonts w:ascii="Arial" w:hAnsi="Arial" w:cs="Arial"/>
          <w:b/>
          <w:u w:val="single"/>
        </w:rPr>
        <w:t>Monitor Your Progress</w:t>
      </w:r>
    </w:p>
    <w:p w14:paraId="1087D115" w14:textId="4E088629" w:rsidR="00D91D68" w:rsidRPr="00B0385C" w:rsidRDefault="00D91D68" w:rsidP="005A0D28">
      <w:pPr>
        <w:spacing w:after="0"/>
        <w:jc w:val="both"/>
        <w:rPr>
          <w:rFonts w:ascii="Arial" w:hAnsi="Arial" w:cs="Arial"/>
          <w:i/>
          <w:color w:val="FF0000"/>
        </w:rPr>
      </w:pPr>
      <w:r w:rsidRPr="008041C3">
        <w:rPr>
          <w:rFonts w:ascii="Arial" w:hAnsi="Arial" w:cs="Arial"/>
          <w:color w:val="FF0000"/>
        </w:rPr>
        <w:t>[</w:t>
      </w:r>
      <w:r w:rsidRPr="008041C3">
        <w:rPr>
          <w:rFonts w:ascii="Arial" w:hAnsi="Arial" w:cs="Arial"/>
          <w:i/>
          <w:color w:val="FF0000"/>
        </w:rPr>
        <w:t xml:space="preserve">Insert description of how the </w:t>
      </w:r>
      <w:r w:rsidR="00001E01">
        <w:rPr>
          <w:rFonts w:ascii="Arial" w:hAnsi="Arial" w:cs="Arial"/>
          <w:i/>
          <w:color w:val="FF0000"/>
        </w:rPr>
        <w:t>Plan</w:t>
      </w:r>
      <w:r w:rsidRPr="008041C3">
        <w:rPr>
          <w:rFonts w:ascii="Arial" w:hAnsi="Arial" w:cs="Arial"/>
          <w:i/>
          <w:color w:val="FF0000"/>
        </w:rPr>
        <w:t xml:space="preserve"> will provide quarterly status updates </w:t>
      </w:r>
      <w:r>
        <w:rPr>
          <w:rFonts w:ascii="Arial" w:hAnsi="Arial" w:cs="Arial"/>
          <w:i/>
          <w:color w:val="FF0000"/>
        </w:rPr>
        <w:t>to</w:t>
      </w:r>
      <w:r w:rsidRPr="008041C3">
        <w:rPr>
          <w:rFonts w:ascii="Arial" w:hAnsi="Arial" w:cs="Arial"/>
          <w:i/>
          <w:color w:val="FF0000"/>
        </w:rPr>
        <w:t xml:space="preserve"> provider</w:t>
      </w:r>
      <w:r>
        <w:rPr>
          <w:rFonts w:ascii="Arial" w:hAnsi="Arial" w:cs="Arial"/>
          <w:i/>
          <w:color w:val="FF0000"/>
        </w:rPr>
        <w:t>s on</w:t>
      </w:r>
      <w:r w:rsidRPr="008041C3">
        <w:rPr>
          <w:rFonts w:ascii="Arial" w:hAnsi="Arial" w:cs="Arial"/>
          <w:i/>
          <w:color w:val="FF0000"/>
        </w:rPr>
        <w:t xml:space="preserve"> progress toward </w:t>
      </w:r>
      <w:r w:rsidR="00EB7B28">
        <w:rPr>
          <w:rFonts w:ascii="Arial" w:hAnsi="Arial" w:cs="Arial"/>
          <w:i/>
          <w:color w:val="FF0000"/>
        </w:rPr>
        <w:t xml:space="preserve">obtaining </w:t>
      </w:r>
      <w:r>
        <w:rPr>
          <w:rFonts w:ascii="Arial" w:hAnsi="Arial" w:cs="Arial"/>
          <w:i/>
          <w:color w:val="FF0000"/>
        </w:rPr>
        <w:t>a Q</w:t>
      </w:r>
      <w:r w:rsidRPr="008041C3">
        <w:rPr>
          <w:rFonts w:ascii="Arial" w:hAnsi="Arial" w:cs="Arial"/>
          <w:i/>
          <w:color w:val="FF0000"/>
        </w:rPr>
        <w:t xml:space="preserve">ualified </w:t>
      </w:r>
      <w:r>
        <w:rPr>
          <w:rFonts w:ascii="Arial" w:hAnsi="Arial" w:cs="Arial"/>
          <w:i/>
          <w:color w:val="FF0000"/>
        </w:rPr>
        <w:t>P</w:t>
      </w:r>
      <w:r w:rsidRPr="008041C3">
        <w:rPr>
          <w:rFonts w:ascii="Arial" w:hAnsi="Arial" w:cs="Arial"/>
          <w:i/>
          <w:color w:val="FF0000"/>
        </w:rPr>
        <w:t>rovider</w:t>
      </w:r>
      <w:r>
        <w:rPr>
          <w:rFonts w:ascii="Arial" w:hAnsi="Arial" w:cs="Arial"/>
          <w:i/>
          <w:color w:val="FF0000"/>
        </w:rPr>
        <w:t xml:space="preserve"> designation</w:t>
      </w:r>
      <w:r w:rsidRPr="008041C3">
        <w:rPr>
          <w:rFonts w:ascii="Arial" w:hAnsi="Arial" w:cs="Arial"/>
          <w:i/>
          <w:color w:val="FF0000"/>
        </w:rPr>
        <w:t xml:space="preserve"> or for </w:t>
      </w:r>
      <w:r>
        <w:rPr>
          <w:rFonts w:ascii="Arial" w:hAnsi="Arial" w:cs="Arial"/>
          <w:i/>
          <w:color w:val="FF0000"/>
        </w:rPr>
        <w:t xml:space="preserve">currently </w:t>
      </w:r>
      <w:r w:rsidRPr="008041C3">
        <w:rPr>
          <w:rFonts w:ascii="Arial" w:hAnsi="Arial" w:cs="Arial"/>
          <w:i/>
          <w:color w:val="FF0000"/>
        </w:rPr>
        <w:t xml:space="preserve">qualified providers to track </w:t>
      </w:r>
      <w:r>
        <w:rPr>
          <w:rFonts w:ascii="Arial" w:hAnsi="Arial" w:cs="Arial"/>
          <w:i/>
          <w:color w:val="FF0000"/>
        </w:rPr>
        <w:t>their</w:t>
      </w:r>
      <w:r w:rsidRPr="008041C3">
        <w:rPr>
          <w:rFonts w:ascii="Arial" w:hAnsi="Arial" w:cs="Arial"/>
          <w:i/>
          <w:color w:val="FF0000"/>
        </w:rPr>
        <w:t xml:space="preserve"> progress toward</w:t>
      </w:r>
      <w:r>
        <w:rPr>
          <w:rFonts w:ascii="Arial" w:hAnsi="Arial" w:cs="Arial"/>
          <w:i/>
          <w:color w:val="FF0000"/>
        </w:rPr>
        <w:t xml:space="preserve"> </w:t>
      </w:r>
      <w:r w:rsidRPr="008041C3">
        <w:rPr>
          <w:rFonts w:ascii="Arial" w:hAnsi="Arial" w:cs="Arial"/>
          <w:i/>
          <w:color w:val="FF0000"/>
        </w:rPr>
        <w:t xml:space="preserve">receipt of </w:t>
      </w:r>
      <w:r>
        <w:rPr>
          <w:rFonts w:ascii="Arial" w:hAnsi="Arial" w:cs="Arial"/>
          <w:i/>
          <w:color w:val="FF0000"/>
        </w:rPr>
        <w:t>the</w:t>
      </w:r>
      <w:r w:rsidRPr="008041C3">
        <w:rPr>
          <w:rFonts w:ascii="Arial" w:hAnsi="Arial" w:cs="Arial"/>
          <w:i/>
          <w:color w:val="FF0000"/>
        </w:rPr>
        <w:t xml:space="preserve"> next</w:t>
      </w:r>
      <w:r>
        <w:rPr>
          <w:rFonts w:ascii="Arial" w:hAnsi="Arial" w:cs="Arial"/>
          <w:i/>
          <w:color w:val="FF0000"/>
        </w:rPr>
        <w:t xml:space="preserve"> </w:t>
      </w:r>
      <w:r w:rsidRPr="008041C3">
        <w:rPr>
          <w:rFonts w:ascii="Arial" w:hAnsi="Arial" w:cs="Arial"/>
          <w:i/>
          <w:color w:val="FF0000"/>
        </w:rPr>
        <w:t>incentive payment.</w:t>
      </w:r>
      <w:r w:rsidRPr="008041C3">
        <w:rPr>
          <w:rFonts w:ascii="Arial" w:hAnsi="Arial" w:cs="Arial"/>
          <w:color w:val="FF0000"/>
        </w:rPr>
        <w:t>]</w:t>
      </w:r>
    </w:p>
    <w:p w14:paraId="08257C54" w14:textId="77777777" w:rsidR="005A0D28" w:rsidRDefault="005A0D28" w:rsidP="005A0D28">
      <w:pPr>
        <w:spacing w:after="0"/>
        <w:jc w:val="both"/>
        <w:rPr>
          <w:rFonts w:ascii="Arial" w:hAnsi="Arial" w:cs="Arial"/>
        </w:rPr>
      </w:pPr>
    </w:p>
    <w:p w14:paraId="21317270" w14:textId="4D5F8756" w:rsidR="00A63501" w:rsidRDefault="005A0D28" w:rsidP="005A0D28">
      <w:pPr>
        <w:spacing w:after="0"/>
        <w:jc w:val="both"/>
        <w:rPr>
          <w:rFonts w:ascii="Arial" w:hAnsi="Arial" w:cs="Arial"/>
        </w:rPr>
      </w:pPr>
      <w:r>
        <w:rPr>
          <w:rFonts w:ascii="Arial" w:hAnsi="Arial" w:cs="Arial"/>
        </w:rPr>
        <w:t xml:space="preserve">For more information about the </w:t>
      </w:r>
      <w:r w:rsidR="00A07D50">
        <w:rPr>
          <w:rFonts w:ascii="Arial" w:hAnsi="Arial" w:cs="Arial"/>
        </w:rPr>
        <w:t>MPIP</w:t>
      </w:r>
      <w:r>
        <w:rPr>
          <w:rFonts w:ascii="Arial" w:hAnsi="Arial" w:cs="Arial"/>
        </w:rPr>
        <w:t xml:space="preserve"> program parameters, visit the Agency’s webpage at</w:t>
      </w:r>
      <w:r w:rsidR="00131B39">
        <w:rPr>
          <w:rFonts w:ascii="Arial" w:hAnsi="Arial" w:cs="Arial"/>
          <w:i/>
          <w:iCs/>
        </w:rPr>
        <w:t xml:space="preserve"> : </w:t>
      </w:r>
      <w:hyperlink r:id="rId11" w:history="1">
        <w:r w:rsidR="008A1B7E" w:rsidRPr="00EB0959">
          <w:rPr>
            <w:rStyle w:val="Hyperlink"/>
            <w:rFonts w:ascii="Arial" w:hAnsi="Arial" w:cs="Arial"/>
            <w:i/>
            <w:iCs/>
          </w:rPr>
          <w:t>https://ahca.myflorida.com/medicaid/statewide_mc/mma_physician_incentive.shtml</w:t>
        </w:r>
      </w:hyperlink>
      <w:r w:rsidR="008A1B7E">
        <w:rPr>
          <w:rFonts w:ascii="Arial" w:hAnsi="Arial" w:cs="Arial"/>
          <w:i/>
          <w:iCs/>
        </w:rPr>
        <w:t xml:space="preserve"> </w:t>
      </w:r>
    </w:p>
    <w:p w14:paraId="20EC4193" w14:textId="77777777" w:rsidR="008C15DF" w:rsidRDefault="008C15DF" w:rsidP="005A0D28">
      <w:pPr>
        <w:spacing w:after="0"/>
        <w:jc w:val="both"/>
        <w:rPr>
          <w:rFonts w:ascii="Arial" w:hAnsi="Arial" w:cs="Arial"/>
        </w:rPr>
      </w:pPr>
    </w:p>
    <w:p w14:paraId="456CDB16" w14:textId="3BED572B" w:rsidR="00D91D68" w:rsidRDefault="00D91D68" w:rsidP="005A0D28">
      <w:pPr>
        <w:spacing w:after="0"/>
        <w:jc w:val="both"/>
        <w:rPr>
          <w:rFonts w:ascii="Arial" w:hAnsi="Arial" w:cs="Arial"/>
        </w:rPr>
      </w:pPr>
      <w:r w:rsidRPr="00AB6365">
        <w:rPr>
          <w:rFonts w:ascii="Arial" w:hAnsi="Arial" w:cs="Arial"/>
        </w:rPr>
        <w:t xml:space="preserve">Thank you for your continued dedication to our members. Should you have any questions about </w:t>
      </w:r>
      <w:r w:rsidR="00C17D44">
        <w:rPr>
          <w:rFonts w:ascii="Arial" w:hAnsi="Arial" w:cs="Arial"/>
        </w:rPr>
        <w:t xml:space="preserve">the </w:t>
      </w:r>
      <w:r w:rsidR="00A07D50">
        <w:rPr>
          <w:rFonts w:ascii="Arial" w:hAnsi="Arial" w:cs="Arial"/>
        </w:rPr>
        <w:t>MPIP</w:t>
      </w:r>
      <w:r w:rsidRPr="00AB6365">
        <w:rPr>
          <w:rFonts w:ascii="Arial" w:hAnsi="Arial" w:cs="Arial"/>
        </w:rPr>
        <w:t xml:space="preserve">, please do not hesitate to contact </w:t>
      </w:r>
      <w:r>
        <w:rPr>
          <w:rFonts w:ascii="Arial" w:hAnsi="Arial" w:cs="Arial"/>
        </w:rPr>
        <w:t xml:space="preserve">your Provider Services Representative directly or Provider Services at </w:t>
      </w:r>
      <w:r w:rsidRPr="00246D3E">
        <w:rPr>
          <w:rFonts w:ascii="Arial" w:hAnsi="Arial" w:cs="Arial"/>
          <w:color w:val="FF0000"/>
        </w:rPr>
        <w:t>[</w:t>
      </w:r>
      <w:r w:rsidRPr="00246D3E">
        <w:rPr>
          <w:rFonts w:ascii="Arial" w:hAnsi="Arial" w:cs="Arial"/>
          <w:i/>
          <w:color w:val="FF0000"/>
        </w:rPr>
        <w:t>Phone number</w:t>
      </w:r>
      <w:r w:rsidRPr="00246D3E">
        <w:rPr>
          <w:rFonts w:ascii="Arial" w:hAnsi="Arial" w:cs="Arial"/>
          <w:color w:val="FF0000"/>
        </w:rPr>
        <w:t>]</w:t>
      </w:r>
      <w:r>
        <w:rPr>
          <w:rFonts w:ascii="Arial" w:hAnsi="Arial" w:cs="Arial"/>
        </w:rPr>
        <w:t>.</w:t>
      </w:r>
      <w:r w:rsidR="005A0D28">
        <w:rPr>
          <w:rFonts w:ascii="Arial" w:hAnsi="Arial" w:cs="Arial"/>
        </w:rPr>
        <w:t xml:space="preserve"> </w:t>
      </w:r>
    </w:p>
    <w:p w14:paraId="38B2E870" w14:textId="77777777" w:rsidR="005A0D28" w:rsidRDefault="005A0D28" w:rsidP="00D91D68">
      <w:pPr>
        <w:jc w:val="both"/>
        <w:rPr>
          <w:rFonts w:ascii="Arial" w:hAnsi="Arial" w:cs="Arial"/>
        </w:rPr>
      </w:pPr>
    </w:p>
    <w:p w14:paraId="7C1DA744" w14:textId="44923974" w:rsidR="00D91D68" w:rsidRDefault="00D91D68" w:rsidP="00D91D68">
      <w:pPr>
        <w:jc w:val="both"/>
        <w:rPr>
          <w:rFonts w:ascii="Arial" w:hAnsi="Arial" w:cs="Arial"/>
        </w:rPr>
      </w:pPr>
      <w:r>
        <w:rPr>
          <w:rFonts w:ascii="Arial" w:hAnsi="Arial" w:cs="Arial"/>
        </w:rPr>
        <w:t>Sincerely,</w:t>
      </w:r>
    </w:p>
    <w:p w14:paraId="18A6D876" w14:textId="77777777" w:rsidR="00D91D68" w:rsidRPr="00246D3E" w:rsidRDefault="00D91D68" w:rsidP="00D91D68">
      <w:pPr>
        <w:spacing w:after="0"/>
        <w:jc w:val="both"/>
        <w:rPr>
          <w:rFonts w:ascii="Arial" w:hAnsi="Arial" w:cs="Arial"/>
          <w:color w:val="FF0000"/>
        </w:rPr>
      </w:pPr>
      <w:r w:rsidRPr="00246D3E">
        <w:rPr>
          <w:rFonts w:ascii="Arial" w:hAnsi="Arial" w:cs="Arial"/>
          <w:color w:val="FF0000"/>
        </w:rPr>
        <w:t>[</w:t>
      </w:r>
      <w:r w:rsidRPr="00246D3E">
        <w:rPr>
          <w:rFonts w:ascii="Arial" w:hAnsi="Arial" w:cs="Arial"/>
          <w:i/>
          <w:color w:val="FF0000"/>
        </w:rPr>
        <w:t>Name</w:t>
      </w:r>
      <w:r w:rsidRPr="00246D3E">
        <w:rPr>
          <w:rFonts w:ascii="Arial" w:hAnsi="Arial" w:cs="Arial"/>
          <w:color w:val="FF0000"/>
        </w:rPr>
        <w:t>]</w:t>
      </w:r>
    </w:p>
    <w:p w14:paraId="53CAEAFA" w14:textId="77777777" w:rsidR="00D91D68" w:rsidRPr="00246D3E" w:rsidRDefault="00D91D68" w:rsidP="00D91D68">
      <w:pPr>
        <w:spacing w:after="0"/>
        <w:jc w:val="both"/>
        <w:rPr>
          <w:rFonts w:ascii="Arial" w:hAnsi="Arial" w:cs="Arial"/>
          <w:color w:val="FF0000"/>
        </w:rPr>
      </w:pPr>
      <w:r w:rsidRPr="00246D3E">
        <w:rPr>
          <w:rFonts w:ascii="Arial" w:hAnsi="Arial" w:cs="Arial"/>
          <w:color w:val="FF0000"/>
        </w:rPr>
        <w:t>[</w:t>
      </w:r>
      <w:r w:rsidRPr="00246D3E">
        <w:rPr>
          <w:rFonts w:ascii="Arial" w:hAnsi="Arial" w:cs="Arial"/>
          <w:i/>
          <w:color w:val="FF0000"/>
        </w:rPr>
        <w:t>Title</w:t>
      </w:r>
      <w:r w:rsidRPr="00246D3E">
        <w:rPr>
          <w:rFonts w:ascii="Arial" w:hAnsi="Arial" w:cs="Arial"/>
          <w:color w:val="FF0000"/>
        </w:rPr>
        <w:t>]</w:t>
      </w:r>
    </w:p>
    <w:p w14:paraId="2AA556EF" w14:textId="77777777" w:rsidR="00EB3ED9" w:rsidRDefault="00123BD3"/>
    <w:sectPr w:rsidR="00EB3ED9" w:rsidSect="00C16A6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A18A" w14:textId="77777777" w:rsidR="00D765C4" w:rsidRDefault="00D765C4" w:rsidP="00D91D68">
      <w:pPr>
        <w:spacing w:after="0" w:line="240" w:lineRule="auto"/>
      </w:pPr>
      <w:r>
        <w:separator/>
      </w:r>
    </w:p>
  </w:endnote>
  <w:endnote w:type="continuationSeparator" w:id="0">
    <w:p w14:paraId="2B2754C8" w14:textId="77777777" w:rsidR="00D765C4" w:rsidRDefault="00D765C4" w:rsidP="00D9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26CE" w14:textId="2ED21935" w:rsidR="003B4D44" w:rsidRDefault="00DD34A5" w:rsidP="000B39CA">
    <w:pPr>
      <w:pStyle w:val="Footer"/>
      <w:jc w:val="center"/>
      <w:rPr>
        <w:rFonts w:ascii="Arial" w:hAnsi="Arial" w:cs="Arial"/>
        <w:noProof/>
        <w:sz w:val="20"/>
        <w:szCs w:val="20"/>
      </w:rPr>
    </w:pPr>
    <w:r>
      <w:tab/>
    </w:r>
    <w:sdt>
      <w:sdtPr>
        <w:id w:val="1016573152"/>
        <w:docPartObj>
          <w:docPartGallery w:val="Page Numbers (Bottom of Page)"/>
          <w:docPartUnique/>
        </w:docPartObj>
      </w:sdtPr>
      <w:sdtEndPr>
        <w:rPr>
          <w:rFonts w:ascii="Arial" w:hAnsi="Arial" w:cs="Arial"/>
          <w:i/>
          <w:noProof/>
          <w:color w:val="FF0000"/>
          <w:sz w:val="20"/>
          <w:szCs w:val="20"/>
        </w:rPr>
      </w:sdtEndPr>
      <w:sdtContent>
        <w:r w:rsidR="0081062C">
          <w:tab/>
        </w:r>
        <w:r w:rsidR="00D91D68" w:rsidRPr="003B4D44">
          <w:rPr>
            <w:rFonts w:ascii="Arial" w:hAnsi="Arial" w:cs="Arial"/>
            <w:sz w:val="20"/>
            <w:szCs w:val="20"/>
          </w:rPr>
          <w:fldChar w:fldCharType="begin"/>
        </w:r>
        <w:r w:rsidR="00D91D68" w:rsidRPr="003B4D44">
          <w:rPr>
            <w:rFonts w:ascii="Arial" w:hAnsi="Arial" w:cs="Arial"/>
            <w:sz w:val="20"/>
            <w:szCs w:val="20"/>
          </w:rPr>
          <w:instrText xml:space="preserve"> PAGE   \* MERGEFORMAT </w:instrText>
        </w:r>
        <w:r w:rsidR="00D91D68" w:rsidRPr="003B4D44">
          <w:rPr>
            <w:rFonts w:ascii="Arial" w:hAnsi="Arial" w:cs="Arial"/>
            <w:sz w:val="20"/>
            <w:szCs w:val="20"/>
          </w:rPr>
          <w:fldChar w:fldCharType="separate"/>
        </w:r>
        <w:r w:rsidR="00DD3223">
          <w:rPr>
            <w:rFonts w:ascii="Arial" w:hAnsi="Arial" w:cs="Arial"/>
            <w:noProof/>
            <w:sz w:val="20"/>
            <w:szCs w:val="20"/>
          </w:rPr>
          <w:t>5</w:t>
        </w:r>
        <w:r w:rsidR="00D91D68" w:rsidRPr="003B4D44">
          <w:rPr>
            <w:rFonts w:ascii="Arial" w:hAnsi="Arial" w:cs="Arial"/>
            <w:noProof/>
            <w:sz w:val="20"/>
            <w:szCs w:val="20"/>
          </w:rPr>
          <w:fldChar w:fldCharType="end"/>
        </w:r>
        <w:r w:rsidR="007B56D3">
          <w:rPr>
            <w:rFonts w:ascii="Arial" w:hAnsi="Arial" w:cs="Arial"/>
            <w:noProof/>
            <w:sz w:val="20"/>
            <w:szCs w:val="20"/>
          </w:rPr>
          <w:t xml:space="preserve"> of </w:t>
        </w:r>
        <w:r w:rsidR="00E12A75" w:rsidRPr="00E12A75">
          <w:rPr>
            <w:rFonts w:ascii="Arial" w:hAnsi="Arial" w:cs="Arial"/>
            <w:i/>
            <w:noProof/>
            <w:color w:val="FF0000"/>
            <w:sz w:val="20"/>
            <w:szCs w:val="20"/>
          </w:rPr>
          <w:t>X</w:t>
        </w:r>
      </w:sdtContent>
    </w:sdt>
  </w:p>
  <w:p w14:paraId="37983382" w14:textId="3D3852BE" w:rsidR="0081062C" w:rsidRPr="000B39CA" w:rsidRDefault="0081062C" w:rsidP="008106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8BE7" w14:textId="77777777" w:rsidR="00D765C4" w:rsidRDefault="00D765C4" w:rsidP="00D91D68">
      <w:pPr>
        <w:spacing w:after="0" w:line="240" w:lineRule="auto"/>
      </w:pPr>
      <w:r>
        <w:separator/>
      </w:r>
    </w:p>
  </w:footnote>
  <w:footnote w:type="continuationSeparator" w:id="0">
    <w:p w14:paraId="755E2C7A" w14:textId="77777777" w:rsidR="00D765C4" w:rsidRDefault="00D765C4" w:rsidP="00D9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15F4" w14:textId="603720D2" w:rsidR="00796193" w:rsidRPr="00A76F64" w:rsidRDefault="00A76F64" w:rsidP="00A76F64">
    <w:pPr>
      <w:pStyle w:val="Footer"/>
      <w:jc w:val="center"/>
      <w:rPr>
        <w:rFonts w:ascii="Arial" w:hAnsi="Arial" w:cs="Arial"/>
        <w:iCs/>
      </w:rPr>
    </w:pPr>
    <w:r w:rsidRPr="00A76F64">
      <w:rPr>
        <w:rFonts w:ascii="Arial" w:hAnsi="Arial" w:cs="Arial"/>
        <w:iCs/>
      </w:rPr>
      <w:t xml:space="preserve">ATTACHMENT 2: </w:t>
    </w:r>
  </w:p>
  <w:p w14:paraId="77D6CE46" w14:textId="77777777" w:rsidR="00A76F64" w:rsidRDefault="00A76F64" w:rsidP="00A76F64">
    <w:pPr>
      <w:pStyle w:val="Footer"/>
      <w:jc w:val="center"/>
      <w:rPr>
        <w:rFonts w:ascii="Arial" w:hAnsi="Arial" w:cs="Arial"/>
        <w:iCs/>
      </w:rPr>
    </w:pPr>
    <w:r w:rsidRPr="00A76F64">
      <w:rPr>
        <w:rFonts w:ascii="Arial" w:hAnsi="Arial" w:cs="Arial"/>
        <w:iCs/>
      </w:rPr>
      <w:t>2023-2024 MPIP General Announcement Letter</w:t>
    </w:r>
    <w:r>
      <w:rPr>
        <w:rFonts w:ascii="Arial" w:hAnsi="Arial" w:cs="Arial"/>
        <w:iCs/>
      </w:rPr>
      <w:t xml:space="preserve"> </w:t>
    </w:r>
  </w:p>
  <w:p w14:paraId="2D5960FD" w14:textId="323D619F" w:rsidR="00A76F64" w:rsidRPr="00A76F64" w:rsidRDefault="00A76F64" w:rsidP="00A76F64">
    <w:pPr>
      <w:pStyle w:val="Footer"/>
      <w:jc w:val="center"/>
      <w:rPr>
        <w:rFonts w:ascii="Arial" w:hAnsi="Arial" w:cs="Arial"/>
        <w:iCs/>
      </w:rPr>
    </w:pPr>
    <w:r>
      <w:rPr>
        <w:rFonts w:ascii="Arial" w:hAnsi="Arial" w:cs="Arial"/>
        <w:iCs/>
      </w:rPr>
      <w:t>(Delete this header for mailing)</w:t>
    </w:r>
  </w:p>
  <w:p w14:paraId="03D02559" w14:textId="7AE7F483" w:rsidR="00600BDB" w:rsidRDefault="0012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209C"/>
    <w:multiLevelType w:val="hybridMultilevel"/>
    <w:tmpl w:val="86FE61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3152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68"/>
    <w:rsid w:val="00001E01"/>
    <w:rsid w:val="00005A4D"/>
    <w:rsid w:val="0003171C"/>
    <w:rsid w:val="000546F5"/>
    <w:rsid w:val="000823DB"/>
    <w:rsid w:val="00092F50"/>
    <w:rsid w:val="000B39CA"/>
    <w:rsid w:val="000C655B"/>
    <w:rsid w:val="00123BD3"/>
    <w:rsid w:val="00131B39"/>
    <w:rsid w:val="00152853"/>
    <w:rsid w:val="001624EE"/>
    <w:rsid w:val="00175B7C"/>
    <w:rsid w:val="00181F26"/>
    <w:rsid w:val="001D70F1"/>
    <w:rsid w:val="00232AB5"/>
    <w:rsid w:val="00244C1A"/>
    <w:rsid w:val="0027220B"/>
    <w:rsid w:val="00273125"/>
    <w:rsid w:val="00287A8D"/>
    <w:rsid w:val="002B0076"/>
    <w:rsid w:val="002D029C"/>
    <w:rsid w:val="002F05F3"/>
    <w:rsid w:val="002F2D5F"/>
    <w:rsid w:val="003171F7"/>
    <w:rsid w:val="00353E90"/>
    <w:rsid w:val="003826AD"/>
    <w:rsid w:val="00382CF7"/>
    <w:rsid w:val="00393EBF"/>
    <w:rsid w:val="003B35DD"/>
    <w:rsid w:val="003B6CC4"/>
    <w:rsid w:val="00413458"/>
    <w:rsid w:val="0046585C"/>
    <w:rsid w:val="00474550"/>
    <w:rsid w:val="00491CE3"/>
    <w:rsid w:val="004A6007"/>
    <w:rsid w:val="004F63AA"/>
    <w:rsid w:val="005079D1"/>
    <w:rsid w:val="00552CB7"/>
    <w:rsid w:val="00564374"/>
    <w:rsid w:val="00570254"/>
    <w:rsid w:val="00594A91"/>
    <w:rsid w:val="005A0D28"/>
    <w:rsid w:val="005A2B1D"/>
    <w:rsid w:val="005A4C72"/>
    <w:rsid w:val="005B4ED3"/>
    <w:rsid w:val="005D4B53"/>
    <w:rsid w:val="005E256F"/>
    <w:rsid w:val="00643033"/>
    <w:rsid w:val="006702D1"/>
    <w:rsid w:val="007264CC"/>
    <w:rsid w:val="0075233B"/>
    <w:rsid w:val="007915BB"/>
    <w:rsid w:val="00796193"/>
    <w:rsid w:val="007A48E8"/>
    <w:rsid w:val="007B0174"/>
    <w:rsid w:val="007B56D3"/>
    <w:rsid w:val="007E6A60"/>
    <w:rsid w:val="007F46C3"/>
    <w:rsid w:val="007F619C"/>
    <w:rsid w:val="00800C6C"/>
    <w:rsid w:val="0081062C"/>
    <w:rsid w:val="008A1B7E"/>
    <w:rsid w:val="008A44F5"/>
    <w:rsid w:val="008C15DF"/>
    <w:rsid w:val="008E2A5A"/>
    <w:rsid w:val="00906A59"/>
    <w:rsid w:val="009321D2"/>
    <w:rsid w:val="00933726"/>
    <w:rsid w:val="00942288"/>
    <w:rsid w:val="00946E44"/>
    <w:rsid w:val="009956BC"/>
    <w:rsid w:val="009C3A7F"/>
    <w:rsid w:val="009C4A0F"/>
    <w:rsid w:val="009E7CF5"/>
    <w:rsid w:val="00A07D50"/>
    <w:rsid w:val="00A13FE3"/>
    <w:rsid w:val="00A63501"/>
    <w:rsid w:val="00A71846"/>
    <w:rsid w:val="00A76F64"/>
    <w:rsid w:val="00A8792D"/>
    <w:rsid w:val="00A91519"/>
    <w:rsid w:val="00A95C27"/>
    <w:rsid w:val="00AE3CAA"/>
    <w:rsid w:val="00AF576C"/>
    <w:rsid w:val="00B2719B"/>
    <w:rsid w:val="00B53E54"/>
    <w:rsid w:val="00B9530A"/>
    <w:rsid w:val="00BC55AA"/>
    <w:rsid w:val="00BD6925"/>
    <w:rsid w:val="00BF05E2"/>
    <w:rsid w:val="00C1085C"/>
    <w:rsid w:val="00C17D44"/>
    <w:rsid w:val="00C76B2E"/>
    <w:rsid w:val="00C80D30"/>
    <w:rsid w:val="00D41576"/>
    <w:rsid w:val="00D765C4"/>
    <w:rsid w:val="00D90F8D"/>
    <w:rsid w:val="00D91D68"/>
    <w:rsid w:val="00DD3223"/>
    <w:rsid w:val="00DD34A5"/>
    <w:rsid w:val="00DD7A4F"/>
    <w:rsid w:val="00E02F52"/>
    <w:rsid w:val="00E03098"/>
    <w:rsid w:val="00E12A75"/>
    <w:rsid w:val="00E1420F"/>
    <w:rsid w:val="00E32CA7"/>
    <w:rsid w:val="00E43043"/>
    <w:rsid w:val="00E4597E"/>
    <w:rsid w:val="00E5568A"/>
    <w:rsid w:val="00E81148"/>
    <w:rsid w:val="00EB7B28"/>
    <w:rsid w:val="00EC1BE6"/>
    <w:rsid w:val="00ED1079"/>
    <w:rsid w:val="00ED23C1"/>
    <w:rsid w:val="00EE05C7"/>
    <w:rsid w:val="00F17D66"/>
    <w:rsid w:val="00F30284"/>
    <w:rsid w:val="00F33B86"/>
    <w:rsid w:val="00F51816"/>
    <w:rsid w:val="00F542DB"/>
    <w:rsid w:val="00F71B09"/>
    <w:rsid w:val="00F929A4"/>
    <w:rsid w:val="00FF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7FB5C"/>
  <w15:chartTrackingRefBased/>
  <w15:docId w15:val="{55A3649E-47E0-4791-A993-9A2D395A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68"/>
    <w:pPr>
      <w:ind w:left="720"/>
      <w:contextualSpacing/>
    </w:pPr>
  </w:style>
  <w:style w:type="paragraph" w:styleId="Header">
    <w:name w:val="header"/>
    <w:basedOn w:val="Normal"/>
    <w:link w:val="HeaderChar"/>
    <w:uiPriority w:val="99"/>
    <w:unhideWhenUsed/>
    <w:rsid w:val="00D9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D68"/>
  </w:style>
  <w:style w:type="paragraph" w:styleId="Footer">
    <w:name w:val="footer"/>
    <w:basedOn w:val="Normal"/>
    <w:link w:val="FooterChar"/>
    <w:uiPriority w:val="99"/>
    <w:unhideWhenUsed/>
    <w:rsid w:val="00D9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D68"/>
  </w:style>
  <w:style w:type="character" w:styleId="CommentReference">
    <w:name w:val="annotation reference"/>
    <w:basedOn w:val="DefaultParagraphFont"/>
    <w:uiPriority w:val="99"/>
    <w:semiHidden/>
    <w:unhideWhenUsed/>
    <w:rsid w:val="00D91D68"/>
    <w:rPr>
      <w:sz w:val="16"/>
      <w:szCs w:val="16"/>
    </w:rPr>
  </w:style>
  <w:style w:type="paragraph" w:styleId="CommentText">
    <w:name w:val="annotation text"/>
    <w:basedOn w:val="Normal"/>
    <w:link w:val="CommentTextChar"/>
    <w:uiPriority w:val="99"/>
    <w:unhideWhenUsed/>
    <w:rsid w:val="00D91D68"/>
    <w:pPr>
      <w:spacing w:line="240" w:lineRule="auto"/>
    </w:pPr>
    <w:rPr>
      <w:sz w:val="20"/>
      <w:szCs w:val="20"/>
    </w:rPr>
  </w:style>
  <w:style w:type="character" w:customStyle="1" w:styleId="CommentTextChar">
    <w:name w:val="Comment Text Char"/>
    <w:basedOn w:val="DefaultParagraphFont"/>
    <w:link w:val="CommentText"/>
    <w:uiPriority w:val="99"/>
    <w:rsid w:val="00D91D68"/>
    <w:rPr>
      <w:sz w:val="20"/>
      <w:szCs w:val="20"/>
    </w:rPr>
  </w:style>
  <w:style w:type="table" w:styleId="TableGrid">
    <w:name w:val="Table Grid"/>
    <w:basedOn w:val="TableNormal"/>
    <w:uiPriority w:val="59"/>
    <w:rsid w:val="00D91D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68"/>
    <w:rPr>
      <w:rFonts w:ascii="Segoe UI" w:hAnsi="Segoe UI" w:cs="Segoe UI"/>
      <w:sz w:val="18"/>
      <w:szCs w:val="18"/>
    </w:rPr>
  </w:style>
  <w:style w:type="character" w:styleId="Hyperlink">
    <w:name w:val="Hyperlink"/>
    <w:basedOn w:val="DefaultParagraphFont"/>
    <w:uiPriority w:val="99"/>
    <w:unhideWhenUsed/>
    <w:rsid w:val="00A6350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1420F"/>
    <w:rPr>
      <w:b/>
      <w:bCs/>
    </w:rPr>
  </w:style>
  <w:style w:type="character" w:customStyle="1" w:styleId="CommentSubjectChar">
    <w:name w:val="Comment Subject Char"/>
    <w:basedOn w:val="CommentTextChar"/>
    <w:link w:val="CommentSubject"/>
    <w:uiPriority w:val="99"/>
    <w:semiHidden/>
    <w:rsid w:val="00E1420F"/>
    <w:rPr>
      <w:b/>
      <w:bCs/>
      <w:sz w:val="20"/>
      <w:szCs w:val="20"/>
    </w:rPr>
  </w:style>
  <w:style w:type="character" w:styleId="FollowedHyperlink">
    <w:name w:val="FollowedHyperlink"/>
    <w:basedOn w:val="DefaultParagraphFont"/>
    <w:uiPriority w:val="99"/>
    <w:semiHidden/>
    <w:unhideWhenUsed/>
    <w:rsid w:val="00E1420F"/>
    <w:rPr>
      <w:color w:val="800080" w:themeColor="followedHyperlink"/>
      <w:u w:val="single"/>
    </w:rPr>
  </w:style>
  <w:style w:type="paragraph" w:styleId="FootnoteText">
    <w:name w:val="footnote text"/>
    <w:basedOn w:val="Normal"/>
    <w:link w:val="FootnoteTextChar"/>
    <w:uiPriority w:val="99"/>
    <w:semiHidden/>
    <w:unhideWhenUsed/>
    <w:rsid w:val="00A95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C27"/>
    <w:rPr>
      <w:sz w:val="20"/>
      <w:szCs w:val="20"/>
    </w:rPr>
  </w:style>
  <w:style w:type="character" w:styleId="FootnoteReference">
    <w:name w:val="footnote reference"/>
    <w:basedOn w:val="DefaultParagraphFont"/>
    <w:uiPriority w:val="99"/>
    <w:semiHidden/>
    <w:unhideWhenUsed/>
    <w:rsid w:val="00A95C27"/>
    <w:rPr>
      <w:vertAlign w:val="superscript"/>
    </w:rPr>
  </w:style>
  <w:style w:type="character" w:styleId="UnresolvedMention">
    <w:name w:val="Unresolved Mention"/>
    <w:basedOn w:val="DefaultParagraphFont"/>
    <w:uiPriority w:val="99"/>
    <w:semiHidden/>
    <w:unhideWhenUsed/>
    <w:rsid w:val="008A1B7E"/>
    <w:rPr>
      <w:color w:val="605E5C"/>
      <w:shd w:val="clear" w:color="auto" w:fill="E1DFDD"/>
    </w:rPr>
  </w:style>
  <w:style w:type="paragraph" w:styleId="Revision">
    <w:name w:val="Revision"/>
    <w:hidden/>
    <w:uiPriority w:val="99"/>
    <w:semiHidden/>
    <w:rsid w:val="00BF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hca.myflorida.com/medicaid/statewide_mc/mma_physician_incentiv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20DBD-C58F-49EF-AAA3-3C2C2D06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5EC82D-884A-4DDA-873C-1F8AC79CEB8A}">
  <ds:schemaRefs>
    <ds:schemaRef ds:uri="http://schemas.openxmlformats.org/officeDocument/2006/bibliography"/>
  </ds:schemaRefs>
</ds:datastoreItem>
</file>

<file path=customXml/itemProps3.xml><?xml version="1.0" encoding="utf-8"?>
<ds:datastoreItem xmlns:ds="http://schemas.openxmlformats.org/officeDocument/2006/customXml" ds:itemID="{9C6E58AE-0129-4418-823A-04B686D84D56}">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2628CCC-076D-4548-BA9D-98F341DFE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Rachel</dc:creator>
  <cp:keywords/>
  <dc:description/>
  <cp:lastModifiedBy>Jean-Paul, Jamie</cp:lastModifiedBy>
  <cp:revision>3</cp:revision>
  <cp:lastPrinted>2023-06-06T14:12:00Z</cp:lastPrinted>
  <dcterms:created xsi:type="dcterms:W3CDTF">2023-05-08T13:09:00Z</dcterms:created>
  <dcterms:modified xsi:type="dcterms:W3CDTF">2023-06-06T14:13:00Z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903ff0b12ae3bd7055b21304d22166c9fd945ad1f9072de127598ea29d0b1552</vt:lpwstr>
  </property>
</Properties>
</file>